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782E0" w14:textId="77777777" w:rsidR="00595EE3" w:rsidRPr="006A5D4C" w:rsidRDefault="00595EE3" w:rsidP="00595EE3">
      <w:pPr>
        <w:pStyle w:val="Textoindependiente"/>
        <w:rPr>
          <w:b/>
          <w:spacing w:val="0"/>
          <w:sz w:val="22"/>
          <w:szCs w:val="22"/>
        </w:rPr>
      </w:pPr>
      <w:r w:rsidRPr="006A5D4C">
        <w:rPr>
          <w:b/>
          <w:spacing w:val="0"/>
          <w:sz w:val="22"/>
          <w:szCs w:val="22"/>
        </w:rPr>
        <w:t>d. Swaps de tasas de interés.</w:t>
      </w:r>
    </w:p>
    <w:p w14:paraId="08CE6F91" w14:textId="77777777" w:rsidR="00595EE3" w:rsidRPr="006A5D4C" w:rsidRDefault="00595EE3" w:rsidP="00595EE3">
      <w:pPr>
        <w:pStyle w:val="Textoindependiente"/>
        <w:rPr>
          <w:spacing w:val="0"/>
          <w:sz w:val="22"/>
          <w:szCs w:val="22"/>
        </w:rPr>
      </w:pPr>
    </w:p>
    <w:p w14:paraId="43D75755" w14:textId="77777777" w:rsidR="00595EE3" w:rsidRPr="006A5D4C" w:rsidRDefault="00595EE3" w:rsidP="00595EE3">
      <w:pPr>
        <w:pStyle w:val="Textoindependiente"/>
        <w:ind w:left="12"/>
        <w:rPr>
          <w:spacing w:val="0"/>
          <w:sz w:val="22"/>
          <w:szCs w:val="22"/>
        </w:rPr>
      </w:pPr>
      <w:r w:rsidRPr="006A5D4C">
        <w:rPr>
          <w:spacing w:val="0"/>
          <w:sz w:val="22"/>
          <w:szCs w:val="22"/>
        </w:rPr>
        <w:t>Estos instrumentos deberán ser tratados como dos posiciones nocionales en bonos subyacentes en las tasas de interés respectivas. En este sentido la posición se descompone en:</w:t>
      </w:r>
    </w:p>
    <w:p w14:paraId="61CDCEAD" w14:textId="77777777" w:rsidR="00595EE3" w:rsidRPr="006A5D4C" w:rsidRDefault="00595EE3" w:rsidP="00595EE3">
      <w:pPr>
        <w:pStyle w:val="Textoindependiente"/>
        <w:ind w:left="12"/>
        <w:rPr>
          <w:spacing w:val="0"/>
          <w:sz w:val="22"/>
          <w:szCs w:val="22"/>
        </w:rPr>
      </w:pPr>
    </w:p>
    <w:p w14:paraId="5673C60C" w14:textId="77777777" w:rsidR="00595EE3" w:rsidRPr="006A5D4C" w:rsidRDefault="00595EE3" w:rsidP="00595EE3">
      <w:pPr>
        <w:pStyle w:val="Textoindependiente"/>
        <w:numPr>
          <w:ilvl w:val="0"/>
          <w:numId w:val="17"/>
        </w:numPr>
        <w:rPr>
          <w:spacing w:val="0"/>
          <w:sz w:val="22"/>
          <w:szCs w:val="22"/>
        </w:rPr>
      </w:pPr>
      <w:r w:rsidRPr="006A5D4C">
        <w:rPr>
          <w:spacing w:val="0"/>
          <w:sz w:val="22"/>
          <w:szCs w:val="22"/>
        </w:rPr>
        <w:t>Una posición nocional larga en un título pactado a la tasa de interés que recibe la entidad.</w:t>
      </w:r>
    </w:p>
    <w:p w14:paraId="14503E71" w14:textId="77777777" w:rsidR="00595EE3" w:rsidRPr="006A5D4C" w:rsidRDefault="00595EE3" w:rsidP="00595EE3">
      <w:pPr>
        <w:pStyle w:val="Textoindependiente"/>
        <w:numPr>
          <w:ilvl w:val="0"/>
          <w:numId w:val="17"/>
        </w:numPr>
        <w:rPr>
          <w:spacing w:val="0"/>
          <w:sz w:val="22"/>
          <w:szCs w:val="22"/>
        </w:rPr>
      </w:pPr>
      <w:r w:rsidRPr="006A5D4C">
        <w:rPr>
          <w:spacing w:val="0"/>
          <w:sz w:val="22"/>
          <w:szCs w:val="22"/>
        </w:rPr>
        <w:t>Una posición nocional corta en un título pactado a la tasa de interés que la entidad paga.</w:t>
      </w:r>
    </w:p>
    <w:p w14:paraId="6BB9E253" w14:textId="77777777" w:rsidR="00595EE3" w:rsidRPr="006A5D4C" w:rsidRDefault="00595EE3" w:rsidP="00595EE3">
      <w:pPr>
        <w:pStyle w:val="Textoindependiente"/>
        <w:rPr>
          <w:spacing w:val="0"/>
          <w:sz w:val="22"/>
          <w:szCs w:val="22"/>
        </w:rPr>
      </w:pPr>
    </w:p>
    <w:p w14:paraId="10DF5E8C" w14:textId="5F1B1769" w:rsidR="00595EE3" w:rsidRPr="006A5D4C" w:rsidRDefault="00595EE3" w:rsidP="00595EE3">
      <w:pPr>
        <w:pStyle w:val="Textoindependiente"/>
        <w:ind w:left="12"/>
        <w:rPr>
          <w:spacing w:val="0"/>
          <w:sz w:val="22"/>
          <w:szCs w:val="22"/>
        </w:rPr>
      </w:pPr>
      <w:r w:rsidRPr="006A5D4C">
        <w:rPr>
          <w:spacing w:val="0"/>
          <w:sz w:val="22"/>
          <w:szCs w:val="22"/>
        </w:rPr>
        <w:t>Cuando la tasa de interés del instrumento subyacente sea fija, la madurez residual correspondiente será igual a la duración del contrato. Para los casos en que la tasa de interés sea variable, la duración del flujo se calculará de acuerdo a lo estipulado en el numeral 2.1.2.1 del Anexo 1 del presente capítulo.</w:t>
      </w:r>
    </w:p>
    <w:p w14:paraId="0A6959E7" w14:textId="77777777" w:rsidR="00595EE3" w:rsidRPr="006A5D4C" w:rsidRDefault="00595EE3" w:rsidP="00595EE3">
      <w:pPr>
        <w:pStyle w:val="Textoindependiente"/>
        <w:ind w:left="12"/>
        <w:rPr>
          <w:spacing w:val="0"/>
          <w:sz w:val="22"/>
          <w:szCs w:val="22"/>
        </w:rPr>
      </w:pPr>
      <w:r w:rsidRPr="006A5D4C">
        <w:rPr>
          <w:spacing w:val="0"/>
          <w:sz w:val="22"/>
          <w:szCs w:val="22"/>
        </w:rPr>
        <w:t xml:space="preserve"> </w:t>
      </w:r>
    </w:p>
    <w:p w14:paraId="2830C46D" w14:textId="77777777" w:rsidR="00595EE3" w:rsidRPr="006A5D4C" w:rsidRDefault="00595EE3" w:rsidP="00595EE3">
      <w:pPr>
        <w:pStyle w:val="Textoindependiente"/>
        <w:ind w:left="12"/>
        <w:rPr>
          <w:spacing w:val="0"/>
          <w:sz w:val="22"/>
          <w:szCs w:val="22"/>
        </w:rPr>
      </w:pPr>
      <w:r w:rsidRPr="006A5D4C">
        <w:rPr>
          <w:spacing w:val="0"/>
          <w:sz w:val="22"/>
          <w:szCs w:val="22"/>
        </w:rPr>
        <w:t>En el caso de swaps que involucren posiciones en distintas monedas (</w:t>
      </w:r>
      <w:r w:rsidRPr="006A5D4C">
        <w:rPr>
          <w:i/>
          <w:iCs/>
          <w:spacing w:val="0"/>
          <w:sz w:val="22"/>
          <w:szCs w:val="22"/>
        </w:rPr>
        <w:t xml:space="preserve">cross currency swaps) </w:t>
      </w:r>
      <w:r w:rsidRPr="006A5D4C">
        <w:rPr>
          <w:spacing w:val="0"/>
          <w:sz w:val="22"/>
          <w:szCs w:val="22"/>
        </w:rPr>
        <w:t>cada una de las posiciones deberá ser tenida en cuenta para calcular la exposición al riesgo de tasa de cambio.</w:t>
      </w:r>
    </w:p>
    <w:p w14:paraId="23DE523C" w14:textId="77777777" w:rsidR="00595EE3" w:rsidRPr="006A5D4C" w:rsidRDefault="00595EE3" w:rsidP="00595EE3">
      <w:pPr>
        <w:pStyle w:val="Textoindependiente"/>
        <w:ind w:left="708"/>
        <w:rPr>
          <w:spacing w:val="0"/>
          <w:sz w:val="22"/>
          <w:szCs w:val="22"/>
        </w:rPr>
      </w:pPr>
    </w:p>
    <w:p w14:paraId="230E5CC1" w14:textId="2E199328" w:rsidR="00595EE3" w:rsidRPr="001734BE" w:rsidRDefault="00595EE3" w:rsidP="001734BE">
      <w:pPr>
        <w:pStyle w:val="Textoindependiente"/>
        <w:ind w:left="12"/>
        <w:rPr>
          <w:bCs/>
          <w:spacing w:val="0"/>
          <w:sz w:val="22"/>
          <w:szCs w:val="22"/>
        </w:rPr>
      </w:pPr>
      <w:r w:rsidRPr="001734BE">
        <w:rPr>
          <w:bCs/>
          <w:spacing w:val="0"/>
          <w:sz w:val="22"/>
          <w:szCs w:val="22"/>
        </w:rPr>
        <w:t>Para efectos de los futuros cuya estructura se asemeje a intercambios de flujos calculados sobre tasas de interés les será aplicable lo establecido en el presente literal (i.e. futuro sobre IBR).</w:t>
      </w:r>
    </w:p>
    <w:p w14:paraId="262F2440" w14:textId="798E5FFF" w:rsidR="00117712" w:rsidRDefault="00117712" w:rsidP="005550E2">
      <w:pPr>
        <w:pStyle w:val="Textoindependiente"/>
        <w:ind w:left="12"/>
        <w:rPr>
          <w:b/>
          <w:spacing w:val="0"/>
          <w:sz w:val="22"/>
          <w:szCs w:val="22"/>
        </w:rPr>
      </w:pPr>
    </w:p>
    <w:p w14:paraId="6605B50B" w14:textId="6D78C129" w:rsidR="00117712" w:rsidRDefault="006D3998" w:rsidP="005550E2">
      <w:pPr>
        <w:pStyle w:val="Textoindependiente"/>
        <w:pBdr>
          <w:left w:val="single" w:sz="4" w:space="1" w:color="auto"/>
        </w:pBdr>
        <w:ind w:left="12"/>
        <w:rPr>
          <w:b/>
          <w:spacing w:val="0"/>
          <w:sz w:val="22"/>
          <w:szCs w:val="22"/>
        </w:rPr>
      </w:pPr>
      <w:r>
        <w:rPr>
          <w:b/>
          <w:spacing w:val="0"/>
          <w:sz w:val="22"/>
          <w:szCs w:val="22"/>
        </w:rPr>
        <w:t>Los</w:t>
      </w:r>
      <w:r w:rsidR="00117712">
        <w:rPr>
          <w:b/>
          <w:spacing w:val="0"/>
          <w:sz w:val="22"/>
          <w:szCs w:val="22"/>
        </w:rPr>
        <w:t xml:space="preserve"> derivados de crédito que involucren el intercambio de los flujos completos de un activo por una tasa de interés pactada (</w:t>
      </w:r>
      <w:r w:rsidR="00117712">
        <w:rPr>
          <w:b/>
          <w:i/>
          <w:spacing w:val="0"/>
          <w:sz w:val="22"/>
          <w:szCs w:val="22"/>
        </w:rPr>
        <w:t xml:space="preserve">Total Return Swaps), </w:t>
      </w:r>
      <w:r w:rsidR="00117712">
        <w:rPr>
          <w:b/>
          <w:spacing w:val="0"/>
          <w:sz w:val="22"/>
          <w:szCs w:val="22"/>
        </w:rPr>
        <w:t>deberán ser tratados como dos posiciones nocionales separadas</w:t>
      </w:r>
      <w:r>
        <w:rPr>
          <w:b/>
          <w:spacing w:val="0"/>
          <w:sz w:val="22"/>
          <w:szCs w:val="22"/>
        </w:rPr>
        <w:t>, así</w:t>
      </w:r>
      <w:r w:rsidR="00117712">
        <w:rPr>
          <w:b/>
          <w:spacing w:val="0"/>
          <w:sz w:val="22"/>
          <w:szCs w:val="22"/>
        </w:rPr>
        <w:t xml:space="preserve">: </w:t>
      </w:r>
    </w:p>
    <w:p w14:paraId="624C4BC5" w14:textId="310508FE" w:rsidR="00117712" w:rsidRDefault="000A7AB6" w:rsidP="005550E2">
      <w:pPr>
        <w:pStyle w:val="Textoindependiente"/>
        <w:pBdr>
          <w:left w:val="single" w:sz="4" w:space="1" w:color="auto"/>
        </w:pBdr>
        <w:ind w:left="12"/>
        <w:rPr>
          <w:b/>
          <w:spacing w:val="0"/>
          <w:sz w:val="22"/>
          <w:szCs w:val="22"/>
        </w:rPr>
      </w:pPr>
      <w:r>
        <w:rPr>
          <w:b/>
          <w:noProof/>
          <w:spacing w:val="0"/>
          <w:sz w:val="22"/>
          <w:szCs w:val="22"/>
        </w:rPr>
        <mc:AlternateContent>
          <mc:Choice Requires="wps">
            <w:drawing>
              <wp:anchor distT="0" distB="0" distL="114300" distR="114300" simplePos="0" relativeHeight="251659264" behindDoc="0" locked="0" layoutInCell="1" allowOverlap="1" wp14:anchorId="2936CFF1" wp14:editId="322E4EC4">
                <wp:simplePos x="0" y="0"/>
                <wp:positionH relativeFrom="column">
                  <wp:posOffset>-20740</wp:posOffset>
                </wp:positionH>
                <wp:positionV relativeFrom="paragraph">
                  <wp:posOffset>144780</wp:posOffset>
                </wp:positionV>
                <wp:extent cx="0" cy="1002890"/>
                <wp:effectExtent l="0" t="0" r="38100" b="26035"/>
                <wp:wrapNone/>
                <wp:docPr id="1" name="Conector recto 1"/>
                <wp:cNvGraphicFramePr/>
                <a:graphic xmlns:a="http://schemas.openxmlformats.org/drawingml/2006/main">
                  <a:graphicData uri="http://schemas.microsoft.com/office/word/2010/wordprocessingShape">
                    <wps:wsp>
                      <wps:cNvCnPr/>
                      <wps:spPr>
                        <a:xfrm flipH="1">
                          <a:off x="0" y="0"/>
                          <a:ext cx="0" cy="10028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9C1AB0" id="Conector recto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1.4pt" to="-1.65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" strokecolor="black [3213]" strokeweight=".5pt">
                <v:stroke joinstyle="miter"/>
              </v:line>
            </w:pict>
          </mc:Fallback>
        </mc:AlternateContent>
      </w:r>
    </w:p>
    <w:p w14:paraId="5997DB11" w14:textId="70F5D079" w:rsidR="00117712" w:rsidRDefault="00117712" w:rsidP="000A7AB6">
      <w:pPr>
        <w:pStyle w:val="Textoindependiente"/>
        <w:numPr>
          <w:ilvl w:val="0"/>
          <w:numId w:val="39"/>
        </w:numPr>
        <w:rPr>
          <w:b/>
          <w:spacing w:val="0"/>
          <w:sz w:val="22"/>
          <w:szCs w:val="22"/>
        </w:rPr>
      </w:pPr>
      <w:r w:rsidRPr="005627FB">
        <w:rPr>
          <w:b/>
          <w:spacing w:val="0"/>
          <w:sz w:val="22"/>
          <w:szCs w:val="22"/>
        </w:rPr>
        <w:t>Una posición nocional larga</w:t>
      </w:r>
      <w:r w:rsidR="00A72293">
        <w:rPr>
          <w:b/>
          <w:spacing w:val="0"/>
          <w:sz w:val="22"/>
          <w:szCs w:val="22"/>
        </w:rPr>
        <w:t xml:space="preserve"> o corta</w:t>
      </w:r>
      <w:r w:rsidRPr="005627FB">
        <w:rPr>
          <w:b/>
          <w:spacing w:val="0"/>
          <w:sz w:val="22"/>
          <w:szCs w:val="22"/>
        </w:rPr>
        <w:t xml:space="preserve"> en </w:t>
      </w:r>
      <w:r w:rsidR="001774FA" w:rsidRPr="005627FB">
        <w:rPr>
          <w:b/>
          <w:spacing w:val="0"/>
          <w:sz w:val="22"/>
          <w:szCs w:val="22"/>
        </w:rPr>
        <w:t xml:space="preserve">el título de referencia </w:t>
      </w:r>
      <w:r w:rsidR="00A72293">
        <w:rPr>
          <w:b/>
          <w:spacing w:val="0"/>
          <w:sz w:val="22"/>
          <w:szCs w:val="22"/>
        </w:rPr>
        <w:t xml:space="preserve">(subyacente del </w:t>
      </w:r>
      <w:r w:rsidR="008547AA">
        <w:rPr>
          <w:b/>
          <w:spacing w:val="0"/>
          <w:sz w:val="22"/>
          <w:szCs w:val="22"/>
        </w:rPr>
        <w:t>derivado</w:t>
      </w:r>
      <w:r w:rsidR="00A72293">
        <w:rPr>
          <w:b/>
          <w:spacing w:val="0"/>
          <w:sz w:val="22"/>
          <w:szCs w:val="22"/>
        </w:rPr>
        <w:t>)</w:t>
      </w:r>
      <w:r w:rsidR="008547AA">
        <w:rPr>
          <w:b/>
          <w:spacing w:val="0"/>
          <w:sz w:val="22"/>
          <w:szCs w:val="22"/>
        </w:rPr>
        <w:t xml:space="preserve"> </w:t>
      </w:r>
      <w:r w:rsidR="001774FA" w:rsidRPr="005627FB">
        <w:rPr>
          <w:b/>
          <w:spacing w:val="0"/>
          <w:sz w:val="22"/>
          <w:szCs w:val="22"/>
        </w:rPr>
        <w:t>que recibe o paga la entidad.</w:t>
      </w:r>
    </w:p>
    <w:p w14:paraId="3DECF1F3" w14:textId="77777777" w:rsidR="000346AD" w:rsidRPr="005627FB" w:rsidRDefault="000346AD" w:rsidP="000A7AB6">
      <w:pPr>
        <w:pStyle w:val="Textoindependiente"/>
        <w:ind w:left="360"/>
        <w:rPr>
          <w:b/>
          <w:spacing w:val="0"/>
          <w:sz w:val="22"/>
          <w:szCs w:val="22"/>
        </w:rPr>
      </w:pPr>
    </w:p>
    <w:p w14:paraId="31BC0FB1" w14:textId="31724A95" w:rsidR="00117712" w:rsidRPr="005627FB" w:rsidRDefault="00117712" w:rsidP="000A7AB6">
      <w:pPr>
        <w:pStyle w:val="Textoindependiente"/>
        <w:numPr>
          <w:ilvl w:val="0"/>
          <w:numId w:val="39"/>
        </w:numPr>
        <w:rPr>
          <w:b/>
          <w:spacing w:val="0"/>
          <w:sz w:val="22"/>
          <w:szCs w:val="22"/>
        </w:rPr>
      </w:pPr>
      <w:r w:rsidRPr="005627FB">
        <w:rPr>
          <w:b/>
          <w:spacing w:val="0"/>
          <w:sz w:val="22"/>
          <w:szCs w:val="22"/>
        </w:rPr>
        <w:t xml:space="preserve">Una posición nocional </w:t>
      </w:r>
      <w:r w:rsidR="008547AA">
        <w:rPr>
          <w:b/>
          <w:spacing w:val="0"/>
          <w:sz w:val="22"/>
          <w:szCs w:val="22"/>
        </w:rPr>
        <w:t xml:space="preserve">larga o </w:t>
      </w:r>
      <w:r w:rsidRPr="005627FB">
        <w:rPr>
          <w:b/>
          <w:spacing w:val="0"/>
          <w:sz w:val="22"/>
          <w:szCs w:val="22"/>
        </w:rPr>
        <w:t xml:space="preserve">corta en un título pactado a la tasa de interés que la entidad </w:t>
      </w:r>
      <w:r w:rsidR="008547AA">
        <w:rPr>
          <w:b/>
          <w:spacing w:val="0"/>
          <w:sz w:val="22"/>
          <w:szCs w:val="22"/>
        </w:rPr>
        <w:t xml:space="preserve">recibe o </w:t>
      </w:r>
      <w:r w:rsidRPr="005627FB">
        <w:rPr>
          <w:b/>
          <w:spacing w:val="0"/>
          <w:sz w:val="22"/>
          <w:szCs w:val="22"/>
        </w:rPr>
        <w:t>paga</w:t>
      </w:r>
      <w:r w:rsidR="001774FA" w:rsidRPr="005627FB">
        <w:rPr>
          <w:b/>
          <w:spacing w:val="0"/>
          <w:sz w:val="22"/>
          <w:szCs w:val="22"/>
        </w:rPr>
        <w:t xml:space="preserve">. </w:t>
      </w:r>
    </w:p>
    <w:p w14:paraId="6CAEB68B" w14:textId="77777777" w:rsidR="001774FA" w:rsidRPr="006A5D4C" w:rsidRDefault="001774FA" w:rsidP="000A7AB6">
      <w:pPr>
        <w:pStyle w:val="Textoindependiente"/>
        <w:ind w:left="360"/>
        <w:rPr>
          <w:spacing w:val="0"/>
          <w:sz w:val="22"/>
          <w:szCs w:val="22"/>
        </w:rPr>
      </w:pPr>
    </w:p>
    <w:p w14:paraId="39B5AF65" w14:textId="56735DC6" w:rsidR="00117712" w:rsidRPr="00117712" w:rsidRDefault="001774FA" w:rsidP="005550E2">
      <w:pPr>
        <w:pStyle w:val="Textoindependiente"/>
        <w:pBdr>
          <w:left w:val="single" w:sz="4" w:space="1" w:color="auto"/>
        </w:pBdr>
        <w:ind w:left="12"/>
        <w:rPr>
          <w:b/>
          <w:spacing w:val="0"/>
          <w:sz w:val="22"/>
          <w:szCs w:val="22"/>
        </w:rPr>
      </w:pPr>
      <w:r>
        <w:rPr>
          <w:b/>
          <w:spacing w:val="0"/>
          <w:sz w:val="22"/>
          <w:szCs w:val="22"/>
        </w:rPr>
        <w:t>Dependiendo de la naturaleza del título subyacente, se deberá aplicar el factor de riesgo correspondiente</w:t>
      </w:r>
      <w:r w:rsidR="005863B6">
        <w:rPr>
          <w:b/>
          <w:spacing w:val="0"/>
          <w:sz w:val="22"/>
          <w:szCs w:val="22"/>
        </w:rPr>
        <w:t xml:space="preserve"> </w:t>
      </w:r>
      <w:r w:rsidR="00FD0C64">
        <w:rPr>
          <w:b/>
          <w:spacing w:val="0"/>
          <w:sz w:val="22"/>
          <w:szCs w:val="22"/>
        </w:rPr>
        <w:t xml:space="preserve">de acuerdo con lo previsto en el presente </w:t>
      </w:r>
      <w:r w:rsidR="006D3998">
        <w:rPr>
          <w:b/>
          <w:spacing w:val="0"/>
          <w:sz w:val="22"/>
          <w:szCs w:val="22"/>
        </w:rPr>
        <w:t>A</w:t>
      </w:r>
      <w:r w:rsidR="00FD0C64">
        <w:rPr>
          <w:b/>
          <w:spacing w:val="0"/>
          <w:sz w:val="22"/>
          <w:szCs w:val="22"/>
        </w:rPr>
        <w:t>nexo</w:t>
      </w:r>
      <w:r>
        <w:rPr>
          <w:b/>
          <w:spacing w:val="0"/>
          <w:sz w:val="22"/>
          <w:szCs w:val="22"/>
        </w:rPr>
        <w:t xml:space="preserve">.  </w:t>
      </w:r>
    </w:p>
    <w:p w14:paraId="52E56223" w14:textId="77777777" w:rsidR="00595EE3" w:rsidRDefault="00595EE3" w:rsidP="00595EE3">
      <w:pPr>
        <w:pStyle w:val="Textoindependiente"/>
        <w:ind w:left="12"/>
        <w:rPr>
          <w:b/>
          <w:spacing w:val="0"/>
          <w:sz w:val="22"/>
          <w:szCs w:val="22"/>
        </w:rPr>
      </w:pPr>
    </w:p>
    <w:p w14:paraId="2C35F67D" w14:textId="77777777" w:rsidR="00595EE3" w:rsidRPr="006A5D4C" w:rsidRDefault="00595EE3" w:rsidP="00595EE3">
      <w:pPr>
        <w:pStyle w:val="Textoindependiente"/>
        <w:ind w:left="12"/>
        <w:rPr>
          <w:b/>
          <w:spacing w:val="0"/>
          <w:sz w:val="22"/>
          <w:szCs w:val="22"/>
        </w:rPr>
      </w:pPr>
      <w:r w:rsidRPr="006A5D4C">
        <w:rPr>
          <w:b/>
          <w:spacing w:val="0"/>
          <w:sz w:val="22"/>
          <w:szCs w:val="22"/>
        </w:rPr>
        <w:t>e. Futuros, Forwards y Operaciones a Plazo sobre acciones (o índices de acciones).</w:t>
      </w:r>
    </w:p>
    <w:p w14:paraId="07547A01" w14:textId="77777777" w:rsidR="00595EE3" w:rsidRPr="006A5D4C" w:rsidRDefault="00595EE3" w:rsidP="00595EE3">
      <w:pPr>
        <w:pStyle w:val="Textoindependiente"/>
        <w:rPr>
          <w:spacing w:val="0"/>
          <w:sz w:val="22"/>
          <w:szCs w:val="22"/>
        </w:rPr>
      </w:pPr>
    </w:p>
    <w:p w14:paraId="6EA6B9D9" w14:textId="77777777" w:rsidR="00595EE3" w:rsidRPr="006A5D4C" w:rsidRDefault="00595EE3" w:rsidP="00595EE3">
      <w:pPr>
        <w:pStyle w:val="Textoindependiente"/>
        <w:ind w:left="12"/>
        <w:rPr>
          <w:spacing w:val="0"/>
          <w:sz w:val="22"/>
          <w:szCs w:val="22"/>
        </w:rPr>
      </w:pPr>
      <w:r w:rsidRPr="006A5D4C">
        <w:rPr>
          <w:spacing w:val="0"/>
          <w:sz w:val="22"/>
          <w:szCs w:val="22"/>
        </w:rPr>
        <w:t>Estas operaciones deben descomponerse en dos (2) posiciones nocionales, una correspondiente a la acción (o índice de acciones) subyacente y otra correspondiente a un bono cero cupón con madurez residual igual al tiempo remanente para el cumplimiento del contrato.</w:t>
      </w:r>
    </w:p>
    <w:p w14:paraId="5043CB0F" w14:textId="77777777" w:rsidR="00595EE3" w:rsidRPr="006A5D4C" w:rsidRDefault="00595EE3" w:rsidP="00595EE3">
      <w:pPr>
        <w:pStyle w:val="Textoindependiente"/>
        <w:ind w:left="12"/>
        <w:rPr>
          <w:spacing w:val="0"/>
          <w:sz w:val="22"/>
          <w:szCs w:val="22"/>
        </w:rPr>
      </w:pPr>
    </w:p>
    <w:p w14:paraId="0648545C" w14:textId="77777777" w:rsidR="00595EE3" w:rsidRPr="006A5D4C" w:rsidRDefault="00595EE3" w:rsidP="00595EE3">
      <w:pPr>
        <w:pStyle w:val="Textoindependiente"/>
        <w:ind w:left="12"/>
        <w:rPr>
          <w:spacing w:val="0"/>
          <w:sz w:val="22"/>
          <w:szCs w:val="22"/>
        </w:rPr>
      </w:pPr>
      <w:r w:rsidRPr="006A5D4C">
        <w:rPr>
          <w:spacing w:val="0"/>
          <w:sz w:val="22"/>
          <w:szCs w:val="22"/>
        </w:rPr>
        <w:t>Cuando la entidad tenga una posición larga en las operaciones señaladas en el presente literal (es decir que se compromete a comprar una acción o índice de acciones a un precio previamente establecido en un punto de tiempo en el futuro), esta posición se descompone en:</w:t>
      </w:r>
    </w:p>
    <w:p w14:paraId="07459315" w14:textId="77777777" w:rsidR="00595EE3" w:rsidRPr="006A5D4C" w:rsidRDefault="00595EE3" w:rsidP="00595EE3">
      <w:pPr>
        <w:pStyle w:val="Textoindependiente"/>
        <w:ind w:left="12"/>
        <w:rPr>
          <w:spacing w:val="0"/>
          <w:sz w:val="22"/>
          <w:szCs w:val="22"/>
        </w:rPr>
      </w:pPr>
    </w:p>
    <w:p w14:paraId="451B0E2B" w14:textId="77777777" w:rsidR="00595EE3" w:rsidRPr="006A5D4C" w:rsidRDefault="00595EE3" w:rsidP="00595EE3">
      <w:pPr>
        <w:pStyle w:val="Textoindependiente"/>
        <w:numPr>
          <w:ilvl w:val="0"/>
          <w:numId w:val="8"/>
        </w:numPr>
        <w:tabs>
          <w:tab w:val="clear" w:pos="1068"/>
          <w:tab w:val="num" w:pos="732"/>
        </w:tabs>
        <w:ind w:left="732"/>
        <w:rPr>
          <w:spacing w:val="0"/>
          <w:sz w:val="22"/>
          <w:szCs w:val="22"/>
        </w:rPr>
      </w:pPr>
      <w:r w:rsidRPr="006A5D4C">
        <w:rPr>
          <w:spacing w:val="0"/>
          <w:sz w:val="22"/>
          <w:szCs w:val="22"/>
        </w:rPr>
        <w:t>Una posición nocional larga en el título subyacente.</w:t>
      </w:r>
    </w:p>
    <w:p w14:paraId="31BE3EB3" w14:textId="77777777" w:rsidR="00595EE3" w:rsidRPr="006A5D4C" w:rsidRDefault="00595EE3" w:rsidP="00595EE3">
      <w:pPr>
        <w:pStyle w:val="Textoindependiente"/>
        <w:numPr>
          <w:ilvl w:val="0"/>
          <w:numId w:val="8"/>
        </w:numPr>
        <w:tabs>
          <w:tab w:val="clear" w:pos="1068"/>
          <w:tab w:val="num" w:pos="732"/>
        </w:tabs>
        <w:ind w:left="732"/>
        <w:rPr>
          <w:spacing w:val="0"/>
          <w:sz w:val="22"/>
          <w:szCs w:val="22"/>
        </w:rPr>
      </w:pPr>
      <w:r w:rsidRPr="006A5D4C">
        <w:rPr>
          <w:spacing w:val="0"/>
          <w:sz w:val="22"/>
          <w:szCs w:val="22"/>
        </w:rPr>
        <w:t>Una posición nocional corta en un bono cero cupón con madurez residual igual al tiempo que resta para el cumplimiento del contrato (el valor nominal de esta posición corresponde al precio pactado).</w:t>
      </w:r>
    </w:p>
    <w:p w14:paraId="6537F28F" w14:textId="77777777" w:rsidR="00595EE3" w:rsidRPr="006A5D4C" w:rsidRDefault="00595EE3" w:rsidP="00595EE3">
      <w:pPr>
        <w:pStyle w:val="Textoindependiente"/>
        <w:rPr>
          <w:spacing w:val="0"/>
          <w:sz w:val="22"/>
          <w:szCs w:val="22"/>
        </w:rPr>
      </w:pPr>
    </w:p>
    <w:p w14:paraId="5F81ACC4" w14:textId="77777777" w:rsidR="00595EE3" w:rsidRPr="006A5D4C" w:rsidRDefault="00595EE3" w:rsidP="00595EE3">
      <w:pPr>
        <w:pStyle w:val="Textoindependiente"/>
        <w:ind w:left="12"/>
        <w:rPr>
          <w:spacing w:val="0"/>
          <w:sz w:val="22"/>
          <w:szCs w:val="22"/>
        </w:rPr>
      </w:pPr>
      <w:r w:rsidRPr="006A5D4C">
        <w:rPr>
          <w:spacing w:val="0"/>
          <w:sz w:val="22"/>
          <w:szCs w:val="22"/>
        </w:rPr>
        <w:t>Para el caso contrario (posición corta en el futuro, el forward o la operación a plazo), la primera posición nocional descrita es corta y la segunda larga.</w:t>
      </w:r>
    </w:p>
    <w:p w14:paraId="6DFB9E20" w14:textId="77777777" w:rsidR="00595EE3" w:rsidRPr="006A5D4C" w:rsidRDefault="00595EE3" w:rsidP="00595EE3">
      <w:pPr>
        <w:pStyle w:val="Textoindependiente"/>
        <w:rPr>
          <w:spacing w:val="0"/>
          <w:sz w:val="22"/>
          <w:szCs w:val="22"/>
        </w:rPr>
      </w:pPr>
    </w:p>
    <w:p w14:paraId="637805D2" w14:textId="463080E1" w:rsidR="009B6C07" w:rsidRDefault="00595EE3" w:rsidP="00E7162C">
      <w:pPr>
        <w:pStyle w:val="Textoindependiente"/>
        <w:ind w:left="12"/>
        <w:rPr>
          <w:spacing w:val="0"/>
          <w:sz w:val="22"/>
          <w:szCs w:val="22"/>
        </w:rPr>
      </w:pPr>
      <w:r w:rsidRPr="006A5D4C">
        <w:rPr>
          <w:spacing w:val="0"/>
          <w:sz w:val="22"/>
          <w:szCs w:val="22"/>
        </w:rPr>
        <w:t xml:space="preserve">Sólo la posición en el bono cero cupón computará en el cálculo de riesgo de tasa de interés. La posición en </w:t>
      </w:r>
      <w:r w:rsidR="008F33C7" w:rsidRPr="006A5D4C">
        <w:rPr>
          <w:spacing w:val="0"/>
          <w:sz w:val="22"/>
          <w:szCs w:val="22"/>
        </w:rPr>
        <w:t>acciones estará</w:t>
      </w:r>
      <w:r w:rsidRPr="006A5D4C">
        <w:rPr>
          <w:spacing w:val="0"/>
          <w:sz w:val="22"/>
          <w:szCs w:val="22"/>
        </w:rPr>
        <w:t xml:space="preserve"> sujeta al factor de riesgo de precio de acciones.</w:t>
      </w:r>
    </w:p>
    <w:p w14:paraId="3B7B4B86" w14:textId="77777777" w:rsidR="003D4694" w:rsidRDefault="003D4694" w:rsidP="00F97C2B">
      <w:pPr>
        <w:pStyle w:val="Textoindependiente"/>
        <w:rPr>
          <w:spacing w:val="0"/>
          <w:sz w:val="22"/>
          <w:szCs w:val="22"/>
        </w:rPr>
        <w:sectPr w:rsidR="003D4694" w:rsidSect="005F27B3">
          <w:headerReference w:type="even" r:id="rId10"/>
          <w:headerReference w:type="default" r:id="rId11"/>
          <w:footerReference w:type="even" r:id="rId12"/>
          <w:footerReference w:type="default" r:id="rId13"/>
          <w:headerReference w:type="first" r:id="rId14"/>
          <w:footerReference w:type="first" r:id="rId15"/>
          <w:pgSz w:w="12242" w:h="18722" w:code="14"/>
          <w:pgMar w:top="1701" w:right="1701" w:bottom="1701" w:left="1701" w:header="709" w:footer="709" w:gutter="0"/>
          <w:cols w:space="708"/>
          <w:titlePg/>
          <w:docGrid w:linePitch="360"/>
        </w:sectPr>
      </w:pPr>
    </w:p>
    <w:p w14:paraId="3A0FF5F2" w14:textId="77777777" w:rsidR="008A3BE1" w:rsidRPr="006A5D4C" w:rsidRDefault="008A3BE1" w:rsidP="008A3BE1">
      <w:pPr>
        <w:jc w:val="center"/>
        <w:rPr>
          <w:b/>
          <w:sz w:val="22"/>
          <w:szCs w:val="22"/>
        </w:rPr>
      </w:pPr>
    </w:p>
    <w:p w14:paraId="5630AD66" w14:textId="77777777" w:rsidR="008A3BE1" w:rsidRDefault="008A3BE1" w:rsidP="008A3BE1">
      <w:pPr>
        <w:pStyle w:val="Normal9pt"/>
        <w:numPr>
          <w:ilvl w:val="0"/>
          <w:numId w:val="0"/>
        </w:numPr>
        <w:jc w:val="center"/>
        <w:rPr>
          <w:b/>
          <w:sz w:val="22"/>
          <w:szCs w:val="22"/>
          <w:lang w:val="es-ES_tradnl"/>
        </w:rPr>
      </w:pPr>
    </w:p>
    <w:p w14:paraId="6121157E" w14:textId="77777777" w:rsidR="008A3BE1" w:rsidRPr="006A5D4C" w:rsidRDefault="008A3BE1" w:rsidP="008A3BE1">
      <w:pPr>
        <w:pStyle w:val="Textoindependiente"/>
        <w:ind w:left="12"/>
        <w:rPr>
          <w:b/>
          <w:spacing w:val="0"/>
          <w:sz w:val="22"/>
          <w:szCs w:val="22"/>
        </w:rPr>
      </w:pPr>
      <w:r w:rsidRPr="006A5D4C">
        <w:rPr>
          <w:b/>
          <w:spacing w:val="0"/>
          <w:sz w:val="22"/>
          <w:szCs w:val="22"/>
        </w:rPr>
        <w:t>f.  Operaciones Carrusel</w:t>
      </w:r>
    </w:p>
    <w:p w14:paraId="61829076" w14:textId="77777777" w:rsidR="008A3BE1" w:rsidRPr="006A5D4C" w:rsidRDefault="008A3BE1" w:rsidP="008A3BE1">
      <w:pPr>
        <w:pStyle w:val="Textoindependiente"/>
        <w:rPr>
          <w:spacing w:val="0"/>
          <w:sz w:val="22"/>
          <w:szCs w:val="22"/>
        </w:rPr>
      </w:pPr>
    </w:p>
    <w:p w14:paraId="1802B391" w14:textId="77777777" w:rsidR="008A3BE1" w:rsidRPr="006A5D4C" w:rsidRDefault="008A3BE1" w:rsidP="008A3BE1">
      <w:pPr>
        <w:pStyle w:val="Textoindependiente"/>
        <w:ind w:left="12"/>
        <w:rPr>
          <w:spacing w:val="0"/>
          <w:sz w:val="22"/>
          <w:szCs w:val="22"/>
        </w:rPr>
      </w:pPr>
      <w:r w:rsidRPr="006A5D4C">
        <w:rPr>
          <w:spacing w:val="0"/>
          <w:sz w:val="22"/>
          <w:szCs w:val="22"/>
        </w:rPr>
        <w:t>En términos financieros, un carrusel consiste en una secuencia de operaciones de compra y venta de un título a futuro. Por lo anterior, para efectos de la exposición a riesgos de mercado de que trata el presente capítulo, estas operaciones deberán ser tratadas como una serie de operaciones de compra y venta a futuro del título subyacente. Cada una de estas operaciones deberá ser tratada de acuerdo a lo estipulado en el literal b del presente numeral</w:t>
      </w:r>
      <w:r w:rsidRPr="006A5D4C">
        <w:rPr>
          <w:sz w:val="22"/>
          <w:szCs w:val="22"/>
        </w:rPr>
        <w:t>.</w:t>
      </w:r>
    </w:p>
    <w:p w14:paraId="2BA226A1" w14:textId="77777777" w:rsidR="008A3BE1" w:rsidRPr="006A5D4C" w:rsidRDefault="008A3BE1" w:rsidP="008A3BE1">
      <w:pPr>
        <w:pStyle w:val="Textoindependiente"/>
        <w:rPr>
          <w:spacing w:val="0"/>
          <w:sz w:val="22"/>
          <w:szCs w:val="22"/>
        </w:rPr>
      </w:pPr>
    </w:p>
    <w:p w14:paraId="6AEF442E" w14:textId="77777777" w:rsidR="008A3BE1" w:rsidRPr="006A5D4C" w:rsidRDefault="008A3BE1" w:rsidP="008A3BE1">
      <w:pPr>
        <w:pStyle w:val="Textoindependiente"/>
        <w:ind w:left="12"/>
        <w:rPr>
          <w:b/>
          <w:spacing w:val="0"/>
          <w:sz w:val="22"/>
          <w:szCs w:val="22"/>
        </w:rPr>
      </w:pPr>
      <w:r w:rsidRPr="006A5D4C">
        <w:rPr>
          <w:b/>
          <w:spacing w:val="0"/>
          <w:sz w:val="22"/>
          <w:szCs w:val="22"/>
        </w:rPr>
        <w:t>g.  Opciones.</w:t>
      </w:r>
    </w:p>
    <w:p w14:paraId="17AD93B2" w14:textId="77777777" w:rsidR="008A3BE1" w:rsidRPr="006A5D4C" w:rsidRDefault="008A3BE1" w:rsidP="008A3BE1">
      <w:pPr>
        <w:pStyle w:val="Textoindependiente"/>
        <w:rPr>
          <w:spacing w:val="0"/>
          <w:sz w:val="22"/>
          <w:szCs w:val="22"/>
        </w:rPr>
      </w:pPr>
    </w:p>
    <w:p w14:paraId="626B5DF3" w14:textId="77777777" w:rsidR="008A3BE1" w:rsidRPr="006A5D4C" w:rsidRDefault="008A3BE1" w:rsidP="008A3BE1">
      <w:pPr>
        <w:pStyle w:val="Textoindependiente"/>
        <w:ind w:left="12"/>
        <w:rPr>
          <w:spacing w:val="0"/>
          <w:sz w:val="22"/>
          <w:szCs w:val="22"/>
        </w:rPr>
      </w:pPr>
      <w:r w:rsidRPr="006A5D4C">
        <w:rPr>
          <w:spacing w:val="0"/>
          <w:sz w:val="22"/>
          <w:szCs w:val="22"/>
        </w:rPr>
        <w:t>El tratamiento de estas operaciones será descrito en la sección 1.7.</w:t>
      </w:r>
    </w:p>
    <w:p w14:paraId="0DE4B5B7" w14:textId="77777777" w:rsidR="008A3BE1" w:rsidRPr="006A5D4C" w:rsidRDefault="008A3BE1" w:rsidP="008A3BE1">
      <w:pPr>
        <w:pStyle w:val="Textoindependiente"/>
        <w:ind w:left="708"/>
        <w:rPr>
          <w:spacing w:val="0"/>
          <w:sz w:val="22"/>
          <w:szCs w:val="22"/>
        </w:rPr>
      </w:pPr>
    </w:p>
    <w:p w14:paraId="5853A570" w14:textId="77777777" w:rsidR="008A3BE1" w:rsidRPr="006A5D4C" w:rsidRDefault="008A3BE1" w:rsidP="008A3BE1">
      <w:pPr>
        <w:pStyle w:val="Textoindependiente"/>
        <w:rPr>
          <w:spacing w:val="0"/>
          <w:sz w:val="22"/>
          <w:szCs w:val="22"/>
        </w:rPr>
      </w:pPr>
      <w:r w:rsidRPr="006A5D4C">
        <w:rPr>
          <w:spacing w:val="0"/>
          <w:sz w:val="22"/>
          <w:szCs w:val="22"/>
        </w:rPr>
        <w:t>Para valorar aquellas posiciones nocionales asimiladas a bonos cero cupón, se deberán seguir las siguientes indicaciones:</w:t>
      </w:r>
    </w:p>
    <w:p w14:paraId="66204FF1" w14:textId="77777777" w:rsidR="008A3BE1" w:rsidRPr="006A5D4C" w:rsidRDefault="008A3BE1" w:rsidP="008A3BE1">
      <w:pPr>
        <w:pStyle w:val="Textoindependiente"/>
        <w:rPr>
          <w:spacing w:val="0"/>
          <w:sz w:val="22"/>
          <w:szCs w:val="22"/>
        </w:rPr>
      </w:pPr>
    </w:p>
    <w:p w14:paraId="5EE7CBE7" w14:textId="77777777" w:rsidR="008A3BE1" w:rsidRPr="000752BD" w:rsidRDefault="008A3BE1" w:rsidP="008A3BE1">
      <w:pPr>
        <w:pStyle w:val="Textoindependiente"/>
        <w:numPr>
          <w:ilvl w:val="0"/>
          <w:numId w:val="19"/>
        </w:numPr>
        <w:rPr>
          <w:spacing w:val="0"/>
          <w:sz w:val="22"/>
          <w:szCs w:val="22"/>
        </w:rPr>
      </w:pPr>
      <w:r w:rsidRPr="000752BD">
        <w:rPr>
          <w:spacing w:val="0"/>
          <w:sz w:val="22"/>
          <w:szCs w:val="22"/>
        </w:rPr>
        <w:t xml:space="preserve">Cuando la posición se encuentre en moneda legal, se deberá utilizar la curva cero cupón para títulos TES tasa fija en pesos suministrados por el proveedor de precios para valoración designado como oficial para el segmento correspondiente.  </w:t>
      </w:r>
    </w:p>
    <w:p w14:paraId="288F5C0C" w14:textId="77777777" w:rsidR="008A3BE1" w:rsidRPr="000752BD" w:rsidRDefault="008A3BE1" w:rsidP="008A3BE1">
      <w:pPr>
        <w:pStyle w:val="Textoindependiente"/>
        <w:numPr>
          <w:ilvl w:val="0"/>
          <w:numId w:val="19"/>
        </w:numPr>
        <w:rPr>
          <w:spacing w:val="0"/>
          <w:sz w:val="22"/>
          <w:szCs w:val="22"/>
        </w:rPr>
      </w:pPr>
      <w:r w:rsidRPr="000752BD">
        <w:rPr>
          <w:spacing w:val="0"/>
          <w:sz w:val="22"/>
          <w:szCs w:val="22"/>
        </w:rPr>
        <w:t xml:space="preserve">Cuando la posición se encuentre denominada en UVR se deberá utilizar la curva cero cupón para títulos TES en UVR suministrados por el proveedor de precios para valoración designado como oficial para el segmento correspondiente; y </w:t>
      </w:r>
    </w:p>
    <w:p w14:paraId="69E7D162" w14:textId="77777777" w:rsidR="008A3BE1" w:rsidRPr="000752BD" w:rsidRDefault="008A3BE1" w:rsidP="008A3BE1">
      <w:pPr>
        <w:pStyle w:val="Textoindependiente"/>
        <w:numPr>
          <w:ilvl w:val="0"/>
          <w:numId w:val="19"/>
        </w:numPr>
        <w:rPr>
          <w:spacing w:val="0"/>
          <w:sz w:val="22"/>
          <w:szCs w:val="22"/>
        </w:rPr>
      </w:pPr>
      <w:r w:rsidRPr="000752BD">
        <w:rPr>
          <w:spacing w:val="0"/>
          <w:sz w:val="22"/>
          <w:szCs w:val="22"/>
        </w:rPr>
        <w:t>Para el caso de posiciones denominadas en moneda extranjera, la tasa de descuento aplicable es la tasa “London Interbank Offer Rate” (LIBOR).</w:t>
      </w:r>
    </w:p>
    <w:p w14:paraId="2DBF0D7D" w14:textId="77777777" w:rsidR="008A3BE1" w:rsidRDefault="008A3BE1" w:rsidP="008A3BE1">
      <w:pPr>
        <w:pStyle w:val="Textoindependiente"/>
        <w:rPr>
          <w:spacing w:val="0"/>
          <w:sz w:val="22"/>
          <w:szCs w:val="22"/>
        </w:rPr>
      </w:pPr>
    </w:p>
    <w:p w14:paraId="669FDF7C" w14:textId="77777777" w:rsidR="008A3BE1" w:rsidRPr="006A5D4C" w:rsidRDefault="008A3BE1" w:rsidP="008A3BE1">
      <w:pPr>
        <w:pStyle w:val="Textoindependiente"/>
        <w:ind w:left="12"/>
        <w:rPr>
          <w:b/>
          <w:spacing w:val="0"/>
          <w:sz w:val="22"/>
          <w:szCs w:val="22"/>
        </w:rPr>
      </w:pPr>
      <w:r>
        <w:rPr>
          <w:b/>
          <w:spacing w:val="0"/>
          <w:sz w:val="22"/>
          <w:szCs w:val="22"/>
        </w:rPr>
        <w:t>h</w:t>
      </w:r>
      <w:r w:rsidRPr="006A5D4C">
        <w:rPr>
          <w:b/>
          <w:spacing w:val="0"/>
          <w:sz w:val="22"/>
          <w:szCs w:val="22"/>
        </w:rPr>
        <w:t xml:space="preserve">.  </w:t>
      </w:r>
      <w:r>
        <w:rPr>
          <w:b/>
          <w:spacing w:val="0"/>
          <w:sz w:val="22"/>
          <w:szCs w:val="22"/>
        </w:rPr>
        <w:t>Notas estructuradas</w:t>
      </w:r>
    </w:p>
    <w:p w14:paraId="6B62F1B3" w14:textId="77777777" w:rsidR="008A3BE1" w:rsidRPr="006A5D4C" w:rsidRDefault="008A3BE1" w:rsidP="008A3BE1">
      <w:pPr>
        <w:pStyle w:val="Textoindependiente"/>
        <w:rPr>
          <w:spacing w:val="0"/>
          <w:sz w:val="22"/>
          <w:szCs w:val="22"/>
        </w:rPr>
      </w:pPr>
    </w:p>
    <w:p w14:paraId="1F9091F2" w14:textId="77777777" w:rsidR="008A3BE1" w:rsidRDefault="008A3BE1" w:rsidP="008A3BE1">
      <w:pPr>
        <w:pStyle w:val="Textoindependiente"/>
        <w:rPr>
          <w:spacing w:val="0"/>
          <w:sz w:val="22"/>
          <w:szCs w:val="22"/>
        </w:rPr>
      </w:pPr>
      <w:r>
        <w:rPr>
          <w:spacing w:val="0"/>
          <w:sz w:val="22"/>
          <w:szCs w:val="22"/>
        </w:rPr>
        <w:t>El riesgo de mercado de las notas estructuradas que puedan descomponerse en instrumentos de renta fija o variable e instrumentos derivados deberá calcularse para cada uno de sus componentes.</w:t>
      </w:r>
    </w:p>
    <w:p w14:paraId="02F2C34E" w14:textId="77777777" w:rsidR="008A3BE1" w:rsidRPr="00A8063F" w:rsidRDefault="008A3BE1" w:rsidP="008A3BE1">
      <w:pPr>
        <w:pStyle w:val="Textoindependiente"/>
        <w:rPr>
          <w:spacing w:val="0"/>
          <w:sz w:val="22"/>
        </w:rPr>
      </w:pPr>
    </w:p>
    <w:p w14:paraId="57F3A8D5" w14:textId="1B7F5391" w:rsidR="008A3BE1" w:rsidRPr="00A8063F" w:rsidRDefault="008A3BE1" w:rsidP="008A3BE1">
      <w:pPr>
        <w:pStyle w:val="Textoindependiente"/>
        <w:pBdr>
          <w:left w:val="single" w:sz="4" w:space="4" w:color="auto"/>
        </w:pBdr>
        <w:rPr>
          <w:spacing w:val="0"/>
          <w:sz w:val="22"/>
          <w:szCs w:val="22"/>
        </w:rPr>
      </w:pPr>
      <w:r w:rsidRPr="00A8063F">
        <w:rPr>
          <w:spacing w:val="0"/>
          <w:sz w:val="22"/>
        </w:rPr>
        <w:t>Cuando se trate de notas estructuradas que, de acuerdo con su valoración, puedan descomponerse, el riesgo de mercado deberá cal</w:t>
      </w:r>
      <w:r>
        <w:rPr>
          <w:spacing w:val="0"/>
          <w:sz w:val="22"/>
        </w:rPr>
        <w:t xml:space="preserve">cularse teniendo en cuenta:(i) </w:t>
      </w:r>
      <w:r w:rsidRPr="00A8063F">
        <w:rPr>
          <w:spacing w:val="0"/>
          <w:sz w:val="22"/>
        </w:rPr>
        <w:t>el módulo de tasa de interés, de acuerdo con las reglas contenidas en el numeral 1.2 de este anexo, cuando se trate de instrumentos de renta fija.</w:t>
      </w:r>
      <w:r w:rsidRPr="00A8063F">
        <w:rPr>
          <w:b/>
          <w:spacing w:val="0"/>
          <w:sz w:val="22"/>
          <w:szCs w:val="22"/>
        </w:rPr>
        <w:t xml:space="preserve"> </w:t>
      </w:r>
      <w:r w:rsidRPr="00D8366D">
        <w:rPr>
          <w:spacing w:val="0"/>
          <w:sz w:val="22"/>
          <w:szCs w:val="22"/>
        </w:rPr>
        <w:t>(ii) el factor de riesgo de tasa de cambio, de acuerdo con las reglas contenidas en el numeral 1.3 del presente anexo. (iii</w:t>
      </w:r>
      <w:r w:rsidRPr="00D8366D">
        <w:rPr>
          <w:spacing w:val="0"/>
          <w:sz w:val="22"/>
        </w:rPr>
        <w:t>)</w:t>
      </w:r>
      <w:r>
        <w:rPr>
          <w:spacing w:val="0"/>
          <w:sz w:val="22"/>
        </w:rPr>
        <w:t xml:space="preserve"> el</w:t>
      </w:r>
      <w:r w:rsidRPr="00A8063F">
        <w:rPr>
          <w:spacing w:val="0"/>
          <w:sz w:val="22"/>
        </w:rPr>
        <w:t xml:space="preserve"> factor de riesgo de precio de acciones o índice accionario, de acuerdo con las reglas contenidas en </w:t>
      </w:r>
      <w:r w:rsidRPr="00601782">
        <w:rPr>
          <w:spacing w:val="0"/>
          <w:sz w:val="22"/>
        </w:rPr>
        <w:t>el numeral 1.4 del presente anexo, para el caso de instrumentos de renta variable</w:t>
      </w:r>
      <w:r w:rsidRPr="00601782">
        <w:rPr>
          <w:spacing w:val="0"/>
          <w:sz w:val="22"/>
          <w:szCs w:val="22"/>
        </w:rPr>
        <w:t>. (iv) el factor de riesgo de operaciones de</w:t>
      </w:r>
      <w:r>
        <w:rPr>
          <w:b/>
          <w:spacing w:val="0"/>
          <w:sz w:val="22"/>
          <w:szCs w:val="22"/>
        </w:rPr>
        <w:t xml:space="preserve"> </w:t>
      </w:r>
      <w:r w:rsidR="00686C5D">
        <w:rPr>
          <w:b/>
          <w:spacing w:val="0"/>
          <w:sz w:val="22"/>
          <w:szCs w:val="22"/>
        </w:rPr>
        <w:t>derivados de crédito</w:t>
      </w:r>
      <w:r>
        <w:rPr>
          <w:b/>
          <w:spacing w:val="0"/>
          <w:sz w:val="22"/>
          <w:szCs w:val="22"/>
        </w:rPr>
        <w:t xml:space="preserve">, </w:t>
      </w:r>
      <w:r w:rsidRPr="00601782">
        <w:rPr>
          <w:bCs/>
          <w:spacing w:val="0"/>
          <w:sz w:val="22"/>
          <w:szCs w:val="22"/>
        </w:rPr>
        <w:t>de acuerdo con las reglas contenidas en el numeral 1.9 del presente anexo</w:t>
      </w:r>
      <w:r>
        <w:rPr>
          <w:b/>
          <w:spacing w:val="0"/>
          <w:sz w:val="22"/>
          <w:szCs w:val="22"/>
        </w:rPr>
        <w:t>.</w:t>
      </w:r>
    </w:p>
    <w:p w14:paraId="680A4E5D" w14:textId="77777777" w:rsidR="008A3BE1" w:rsidRDefault="008A3BE1" w:rsidP="008A3BE1">
      <w:pPr>
        <w:pStyle w:val="Textoindependiente"/>
        <w:rPr>
          <w:spacing w:val="0"/>
          <w:sz w:val="22"/>
          <w:szCs w:val="22"/>
        </w:rPr>
      </w:pPr>
    </w:p>
    <w:p w14:paraId="7ACF2919" w14:textId="77777777" w:rsidR="008A3BE1" w:rsidRDefault="008A3BE1" w:rsidP="008A3BE1">
      <w:pPr>
        <w:pStyle w:val="Textoindependiente"/>
        <w:rPr>
          <w:spacing w:val="0"/>
          <w:sz w:val="22"/>
          <w:szCs w:val="22"/>
        </w:rPr>
      </w:pPr>
      <w:r>
        <w:rPr>
          <w:spacing w:val="0"/>
          <w:sz w:val="22"/>
          <w:szCs w:val="22"/>
        </w:rPr>
        <w:t>Cuando se trate de notas estructuradas que, de acuerdo con su valoración, no puedan descomponerse y se asemejen en su comportamiento y estructura a una opción, el riesgo de mercado deberá calcularse de acuerdo con las reglas contenidas en el numeral 1.7 del presente instructivo.</w:t>
      </w:r>
    </w:p>
    <w:p w14:paraId="19219836" w14:textId="77777777" w:rsidR="008A3BE1" w:rsidRDefault="008A3BE1" w:rsidP="008A3BE1">
      <w:pPr>
        <w:pStyle w:val="Textoindependiente"/>
        <w:rPr>
          <w:spacing w:val="0"/>
          <w:sz w:val="22"/>
          <w:szCs w:val="22"/>
        </w:rPr>
      </w:pPr>
    </w:p>
    <w:p w14:paraId="296FEF7D" w14:textId="77777777" w:rsidR="008A3BE1" w:rsidRDefault="008A3BE1" w:rsidP="008A3BE1">
      <w:pPr>
        <w:pStyle w:val="Textoindependiente"/>
        <w:rPr>
          <w:spacing w:val="0"/>
          <w:sz w:val="22"/>
          <w:szCs w:val="22"/>
        </w:rPr>
      </w:pPr>
    </w:p>
    <w:p w14:paraId="7194DBDC" w14:textId="77777777" w:rsidR="008A3BE1" w:rsidRDefault="008A3BE1" w:rsidP="008A3BE1">
      <w:pPr>
        <w:pStyle w:val="Textoindependiente"/>
        <w:rPr>
          <w:spacing w:val="0"/>
          <w:sz w:val="22"/>
          <w:szCs w:val="22"/>
        </w:rPr>
      </w:pPr>
    </w:p>
    <w:p w14:paraId="769D0D3C" w14:textId="77777777" w:rsidR="008A3BE1" w:rsidRDefault="008A3BE1" w:rsidP="008A3BE1">
      <w:pPr>
        <w:pStyle w:val="Textoindependiente"/>
        <w:rPr>
          <w:spacing w:val="0"/>
          <w:sz w:val="22"/>
          <w:szCs w:val="22"/>
        </w:rPr>
      </w:pPr>
    </w:p>
    <w:p w14:paraId="54CD245A" w14:textId="77777777" w:rsidR="008A3BE1" w:rsidRDefault="008A3BE1" w:rsidP="008A3BE1">
      <w:pPr>
        <w:pStyle w:val="Textoindependiente"/>
        <w:rPr>
          <w:spacing w:val="0"/>
          <w:sz w:val="22"/>
          <w:szCs w:val="22"/>
        </w:rPr>
      </w:pPr>
    </w:p>
    <w:p w14:paraId="1231BE67" w14:textId="77777777" w:rsidR="008A3BE1" w:rsidRDefault="008A3BE1" w:rsidP="008A3BE1">
      <w:pPr>
        <w:pStyle w:val="Textoindependiente"/>
        <w:rPr>
          <w:spacing w:val="0"/>
          <w:sz w:val="22"/>
          <w:szCs w:val="22"/>
        </w:rPr>
      </w:pPr>
    </w:p>
    <w:p w14:paraId="36FEB5B0" w14:textId="77777777" w:rsidR="008A3BE1" w:rsidRDefault="008A3BE1" w:rsidP="008A3BE1">
      <w:pPr>
        <w:pStyle w:val="Textoindependiente"/>
        <w:rPr>
          <w:spacing w:val="0"/>
          <w:sz w:val="22"/>
          <w:szCs w:val="22"/>
        </w:rPr>
      </w:pPr>
    </w:p>
    <w:p w14:paraId="30D7AA69" w14:textId="77777777" w:rsidR="008A3BE1" w:rsidRDefault="008A3BE1" w:rsidP="008A3BE1">
      <w:pPr>
        <w:pStyle w:val="Textoindependiente"/>
        <w:rPr>
          <w:spacing w:val="0"/>
          <w:sz w:val="22"/>
          <w:szCs w:val="22"/>
        </w:rPr>
      </w:pPr>
    </w:p>
    <w:p w14:paraId="7196D064" w14:textId="77777777" w:rsidR="008A3BE1" w:rsidRDefault="008A3BE1" w:rsidP="008A3BE1">
      <w:pPr>
        <w:pStyle w:val="Textoindependiente"/>
        <w:rPr>
          <w:spacing w:val="0"/>
          <w:sz w:val="22"/>
          <w:szCs w:val="22"/>
        </w:rPr>
      </w:pPr>
    </w:p>
    <w:p w14:paraId="34FF1C98" w14:textId="77777777" w:rsidR="009B6C07" w:rsidRDefault="009B6C07" w:rsidP="00F97C2B">
      <w:pPr>
        <w:pStyle w:val="Textoindependiente"/>
        <w:rPr>
          <w:bCs/>
          <w:sz w:val="22"/>
          <w:szCs w:val="22"/>
        </w:rPr>
      </w:pPr>
    </w:p>
    <w:p w14:paraId="6D072C0D" w14:textId="77777777" w:rsidR="003D4694" w:rsidRDefault="003D4694" w:rsidP="00F97C2B">
      <w:pPr>
        <w:pStyle w:val="Textoindependiente"/>
        <w:rPr>
          <w:bCs/>
          <w:sz w:val="22"/>
          <w:szCs w:val="22"/>
        </w:rPr>
        <w:sectPr w:rsidR="003D4694" w:rsidSect="005F27B3">
          <w:headerReference w:type="first" r:id="rId16"/>
          <w:footerReference w:type="first" r:id="rId17"/>
          <w:pgSz w:w="12242" w:h="18722" w:code="14"/>
          <w:pgMar w:top="1701" w:right="1701" w:bottom="1701" w:left="1701" w:header="709" w:footer="709" w:gutter="0"/>
          <w:cols w:space="708"/>
          <w:titlePg/>
          <w:docGrid w:linePitch="360"/>
        </w:sectPr>
      </w:pPr>
    </w:p>
    <w:p w14:paraId="5A7E0CF2" w14:textId="4DC21F39" w:rsidR="00645922" w:rsidRDefault="00F8757C">
      <w:r>
        <w:rPr>
          <w:noProof/>
        </w:rPr>
        <w:lastRenderedPageBreak/>
        <mc:AlternateContent>
          <mc:Choice Requires="wps">
            <w:drawing>
              <wp:anchor distT="0" distB="0" distL="114300" distR="114300" simplePos="0" relativeHeight="251660288" behindDoc="0" locked="0" layoutInCell="1" allowOverlap="1" wp14:anchorId="2B34A6A6" wp14:editId="5E64A6A2">
                <wp:simplePos x="0" y="0"/>
                <wp:positionH relativeFrom="column">
                  <wp:posOffset>-70485</wp:posOffset>
                </wp:positionH>
                <wp:positionV relativeFrom="paragraph">
                  <wp:posOffset>1984375</wp:posOffset>
                </wp:positionV>
                <wp:extent cx="0" cy="531495"/>
                <wp:effectExtent l="0" t="0" r="38100" b="20955"/>
                <wp:wrapNone/>
                <wp:docPr id="2" name="Conector recto 2"/>
                <wp:cNvGraphicFramePr/>
                <a:graphic xmlns:a="http://schemas.openxmlformats.org/drawingml/2006/main">
                  <a:graphicData uri="http://schemas.microsoft.com/office/word/2010/wordprocessingShape">
                    <wps:wsp>
                      <wps:cNvCnPr/>
                      <wps:spPr>
                        <a:xfrm flipV="1">
                          <a:off x="0" y="0"/>
                          <a:ext cx="0" cy="5314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98E4BA" id="Conector recto 2"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156.25pt" to="-5.55pt,1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" strokecolor="black [3213]" strokeweight=".5pt">
                <v:stroke joinstyle="miter"/>
              </v:line>
            </w:pict>
          </mc:Fallback>
        </mc:AlternateContent>
      </w:r>
    </w:p>
    <w:tbl>
      <w:tblPr>
        <w:tblW w:w="7482" w:type="dxa"/>
        <w:tblInd w:w="55" w:type="dxa"/>
        <w:tblCellMar>
          <w:left w:w="70" w:type="dxa"/>
          <w:right w:w="70" w:type="dxa"/>
        </w:tblCellMar>
        <w:tblLook w:val="0000" w:firstRow="0" w:lastRow="0" w:firstColumn="0" w:lastColumn="0" w:noHBand="0" w:noVBand="0"/>
      </w:tblPr>
      <w:tblGrid>
        <w:gridCol w:w="2181"/>
        <w:gridCol w:w="1767"/>
        <w:gridCol w:w="3534"/>
      </w:tblGrid>
      <w:tr w:rsidR="00645922" w:rsidRPr="006A5D4C" w14:paraId="57EEC3D6" w14:textId="77777777" w:rsidTr="00FC5454">
        <w:trPr>
          <w:trHeight w:val="255"/>
        </w:trPr>
        <w:tc>
          <w:tcPr>
            <w:tcW w:w="2181" w:type="dxa"/>
            <w:vMerge w:val="restart"/>
            <w:tcBorders>
              <w:top w:val="nil"/>
              <w:left w:val="single" w:sz="4" w:space="0" w:color="auto"/>
              <w:bottom w:val="single" w:sz="4" w:space="0" w:color="auto"/>
              <w:right w:val="single" w:sz="4" w:space="0" w:color="auto"/>
            </w:tcBorders>
            <w:vAlign w:val="center"/>
          </w:tcPr>
          <w:p w14:paraId="60FA6563" w14:textId="77777777" w:rsidR="00645922" w:rsidRPr="006A5D4C" w:rsidRDefault="00645922" w:rsidP="00FC5454">
            <w:pPr>
              <w:rPr>
                <w:bCs/>
                <w:spacing w:val="0"/>
                <w:sz w:val="22"/>
                <w:szCs w:val="22"/>
              </w:rPr>
            </w:pPr>
          </w:p>
        </w:tc>
        <w:tc>
          <w:tcPr>
            <w:tcW w:w="1767" w:type="dxa"/>
            <w:vMerge w:val="restart"/>
            <w:tcBorders>
              <w:top w:val="nil"/>
              <w:left w:val="single" w:sz="4" w:space="0" w:color="auto"/>
              <w:bottom w:val="single" w:sz="4" w:space="0" w:color="auto"/>
              <w:right w:val="single" w:sz="4" w:space="0" w:color="auto"/>
            </w:tcBorders>
            <w:shd w:val="clear" w:color="auto" w:fill="auto"/>
            <w:vAlign w:val="center"/>
          </w:tcPr>
          <w:p w14:paraId="6B823038" w14:textId="77777777" w:rsidR="00645922" w:rsidRPr="006A5D4C" w:rsidRDefault="00645922" w:rsidP="00FC5454">
            <w:pPr>
              <w:jc w:val="center"/>
              <w:rPr>
                <w:spacing w:val="0"/>
                <w:sz w:val="22"/>
                <w:szCs w:val="22"/>
              </w:rPr>
            </w:pPr>
            <w:r w:rsidRPr="006A5D4C">
              <w:rPr>
                <w:spacing w:val="0"/>
                <w:sz w:val="22"/>
                <w:szCs w:val="22"/>
              </w:rPr>
              <w:t>DTF</w:t>
            </w:r>
          </w:p>
        </w:tc>
        <w:tc>
          <w:tcPr>
            <w:tcW w:w="3534" w:type="dxa"/>
            <w:tcBorders>
              <w:top w:val="nil"/>
              <w:left w:val="nil"/>
              <w:bottom w:val="single" w:sz="4" w:space="0" w:color="auto"/>
              <w:right w:val="single" w:sz="4" w:space="0" w:color="auto"/>
            </w:tcBorders>
            <w:shd w:val="clear" w:color="auto" w:fill="auto"/>
            <w:noWrap/>
            <w:vAlign w:val="bottom"/>
          </w:tcPr>
          <w:p w14:paraId="0A9A7829" w14:textId="77777777" w:rsidR="00645922" w:rsidRPr="006A5D4C" w:rsidRDefault="00645922" w:rsidP="00FC5454">
            <w:pPr>
              <w:rPr>
                <w:spacing w:val="0"/>
                <w:sz w:val="22"/>
                <w:szCs w:val="22"/>
              </w:rPr>
            </w:pPr>
            <w:r w:rsidRPr="006A5D4C">
              <w:rPr>
                <w:spacing w:val="0"/>
                <w:sz w:val="22"/>
                <w:szCs w:val="22"/>
              </w:rPr>
              <w:t>10. Corto Plazo</w:t>
            </w:r>
          </w:p>
        </w:tc>
      </w:tr>
      <w:tr w:rsidR="00645922" w:rsidRPr="006A5D4C" w14:paraId="31083AAF" w14:textId="77777777" w:rsidTr="00FC5454">
        <w:trPr>
          <w:trHeight w:val="255"/>
        </w:trPr>
        <w:tc>
          <w:tcPr>
            <w:tcW w:w="2181" w:type="dxa"/>
            <w:vMerge/>
            <w:tcBorders>
              <w:top w:val="nil"/>
              <w:left w:val="single" w:sz="4" w:space="0" w:color="auto"/>
              <w:bottom w:val="single" w:sz="4" w:space="0" w:color="auto"/>
              <w:right w:val="single" w:sz="4" w:space="0" w:color="auto"/>
            </w:tcBorders>
            <w:vAlign w:val="center"/>
          </w:tcPr>
          <w:p w14:paraId="1AC5CDBE" w14:textId="77777777" w:rsidR="00645922" w:rsidRPr="006A5D4C" w:rsidRDefault="00645922" w:rsidP="00FC5454">
            <w:pPr>
              <w:rPr>
                <w:bCs/>
                <w:spacing w:val="0"/>
                <w:sz w:val="22"/>
                <w:szCs w:val="22"/>
              </w:rPr>
            </w:pPr>
          </w:p>
        </w:tc>
        <w:tc>
          <w:tcPr>
            <w:tcW w:w="1767" w:type="dxa"/>
            <w:vMerge/>
            <w:tcBorders>
              <w:top w:val="nil"/>
              <w:left w:val="single" w:sz="4" w:space="0" w:color="auto"/>
              <w:bottom w:val="single" w:sz="4" w:space="0" w:color="auto"/>
              <w:right w:val="single" w:sz="4" w:space="0" w:color="auto"/>
            </w:tcBorders>
            <w:vAlign w:val="center"/>
          </w:tcPr>
          <w:p w14:paraId="342D4C27" w14:textId="77777777" w:rsidR="00645922" w:rsidRPr="006A5D4C" w:rsidRDefault="00645922" w:rsidP="00FC5454">
            <w:pPr>
              <w:rPr>
                <w:spacing w:val="0"/>
                <w:sz w:val="22"/>
                <w:szCs w:val="22"/>
              </w:rPr>
            </w:pPr>
          </w:p>
        </w:tc>
        <w:tc>
          <w:tcPr>
            <w:tcW w:w="3534" w:type="dxa"/>
            <w:tcBorders>
              <w:top w:val="nil"/>
              <w:left w:val="nil"/>
              <w:bottom w:val="single" w:sz="4" w:space="0" w:color="auto"/>
              <w:right w:val="single" w:sz="4" w:space="0" w:color="auto"/>
            </w:tcBorders>
            <w:shd w:val="clear" w:color="auto" w:fill="auto"/>
            <w:noWrap/>
            <w:vAlign w:val="bottom"/>
          </w:tcPr>
          <w:p w14:paraId="7C6109ED" w14:textId="77777777" w:rsidR="00645922" w:rsidRPr="006A5D4C" w:rsidRDefault="00645922" w:rsidP="00FC5454">
            <w:pPr>
              <w:rPr>
                <w:spacing w:val="0"/>
                <w:sz w:val="22"/>
                <w:szCs w:val="22"/>
              </w:rPr>
            </w:pPr>
            <w:r w:rsidRPr="006A5D4C">
              <w:rPr>
                <w:spacing w:val="0"/>
                <w:sz w:val="22"/>
                <w:szCs w:val="22"/>
              </w:rPr>
              <w:t>11.Largo Plazo</w:t>
            </w:r>
          </w:p>
        </w:tc>
      </w:tr>
      <w:tr w:rsidR="00645922" w:rsidRPr="006A5D4C" w14:paraId="25F24B0C" w14:textId="77777777" w:rsidTr="00FC5454">
        <w:trPr>
          <w:trHeight w:val="255"/>
        </w:trPr>
        <w:tc>
          <w:tcPr>
            <w:tcW w:w="2181" w:type="dxa"/>
            <w:vMerge/>
            <w:tcBorders>
              <w:top w:val="nil"/>
              <w:left w:val="single" w:sz="4" w:space="0" w:color="auto"/>
              <w:bottom w:val="single" w:sz="4" w:space="0" w:color="auto"/>
              <w:right w:val="single" w:sz="4" w:space="0" w:color="auto"/>
            </w:tcBorders>
            <w:vAlign w:val="center"/>
          </w:tcPr>
          <w:p w14:paraId="3572E399" w14:textId="77777777" w:rsidR="00645922" w:rsidRPr="006A5D4C" w:rsidRDefault="00645922" w:rsidP="00FC5454">
            <w:pPr>
              <w:rPr>
                <w:bCs/>
                <w:spacing w:val="0"/>
                <w:sz w:val="22"/>
                <w:szCs w:val="22"/>
              </w:rPr>
            </w:pPr>
          </w:p>
        </w:tc>
        <w:tc>
          <w:tcPr>
            <w:tcW w:w="5301" w:type="dxa"/>
            <w:gridSpan w:val="2"/>
            <w:tcBorders>
              <w:top w:val="single" w:sz="4" w:space="0" w:color="auto"/>
              <w:left w:val="nil"/>
              <w:bottom w:val="single" w:sz="4" w:space="0" w:color="auto"/>
              <w:right w:val="single" w:sz="4" w:space="0" w:color="auto"/>
            </w:tcBorders>
            <w:shd w:val="clear" w:color="auto" w:fill="auto"/>
            <w:noWrap/>
            <w:vAlign w:val="bottom"/>
          </w:tcPr>
          <w:p w14:paraId="4C1DAFD7" w14:textId="77777777" w:rsidR="00645922" w:rsidRPr="006A5D4C" w:rsidRDefault="00645922" w:rsidP="00FC5454">
            <w:pPr>
              <w:jc w:val="center"/>
              <w:rPr>
                <w:spacing w:val="0"/>
                <w:sz w:val="22"/>
                <w:szCs w:val="22"/>
              </w:rPr>
            </w:pPr>
            <w:r w:rsidRPr="006A5D4C">
              <w:rPr>
                <w:spacing w:val="0"/>
                <w:sz w:val="22"/>
                <w:szCs w:val="22"/>
              </w:rPr>
              <w:t>12.  IPC</w:t>
            </w:r>
          </w:p>
        </w:tc>
      </w:tr>
      <w:tr w:rsidR="00645922" w:rsidRPr="006A5D4C" w14:paraId="26EDA97B" w14:textId="77777777" w:rsidTr="00FC5454">
        <w:trPr>
          <w:trHeight w:val="255"/>
        </w:trPr>
        <w:tc>
          <w:tcPr>
            <w:tcW w:w="2181" w:type="dxa"/>
            <w:vMerge w:val="restart"/>
            <w:tcBorders>
              <w:top w:val="nil"/>
              <w:left w:val="single" w:sz="4" w:space="0" w:color="auto"/>
              <w:bottom w:val="single" w:sz="4" w:space="0" w:color="auto"/>
              <w:right w:val="single" w:sz="4" w:space="0" w:color="auto"/>
            </w:tcBorders>
            <w:shd w:val="clear" w:color="auto" w:fill="auto"/>
            <w:vAlign w:val="center"/>
          </w:tcPr>
          <w:p w14:paraId="15819122" w14:textId="77777777" w:rsidR="00645922" w:rsidRPr="006A5D4C" w:rsidRDefault="00645922" w:rsidP="00FC5454">
            <w:pPr>
              <w:jc w:val="center"/>
              <w:rPr>
                <w:bCs/>
                <w:spacing w:val="0"/>
                <w:sz w:val="22"/>
                <w:szCs w:val="22"/>
              </w:rPr>
            </w:pPr>
            <w:r w:rsidRPr="006A5D4C">
              <w:rPr>
                <w:bCs/>
                <w:spacing w:val="0"/>
                <w:sz w:val="22"/>
                <w:szCs w:val="22"/>
              </w:rPr>
              <w:t>Tasa de Cambio</w:t>
            </w:r>
          </w:p>
        </w:tc>
        <w:tc>
          <w:tcPr>
            <w:tcW w:w="5301" w:type="dxa"/>
            <w:gridSpan w:val="2"/>
            <w:tcBorders>
              <w:top w:val="single" w:sz="4" w:space="0" w:color="auto"/>
              <w:left w:val="nil"/>
              <w:bottom w:val="single" w:sz="4" w:space="0" w:color="auto"/>
              <w:right w:val="single" w:sz="4" w:space="0" w:color="auto"/>
            </w:tcBorders>
            <w:shd w:val="clear" w:color="auto" w:fill="auto"/>
            <w:noWrap/>
            <w:vAlign w:val="bottom"/>
          </w:tcPr>
          <w:p w14:paraId="218927BD" w14:textId="77777777" w:rsidR="00645922" w:rsidRPr="006A5D4C" w:rsidRDefault="00645922" w:rsidP="00FC5454">
            <w:pPr>
              <w:jc w:val="center"/>
              <w:rPr>
                <w:spacing w:val="0"/>
                <w:sz w:val="22"/>
                <w:szCs w:val="22"/>
              </w:rPr>
            </w:pPr>
            <w:r w:rsidRPr="006A5D4C">
              <w:rPr>
                <w:spacing w:val="0"/>
                <w:sz w:val="22"/>
                <w:szCs w:val="22"/>
              </w:rPr>
              <w:t>13. TRM</w:t>
            </w:r>
          </w:p>
        </w:tc>
      </w:tr>
      <w:tr w:rsidR="00645922" w:rsidRPr="006A5D4C" w14:paraId="08756EE6" w14:textId="77777777" w:rsidTr="00FC5454">
        <w:trPr>
          <w:trHeight w:val="255"/>
        </w:trPr>
        <w:tc>
          <w:tcPr>
            <w:tcW w:w="2181" w:type="dxa"/>
            <w:vMerge/>
            <w:tcBorders>
              <w:top w:val="nil"/>
              <w:left w:val="single" w:sz="4" w:space="0" w:color="auto"/>
              <w:bottom w:val="single" w:sz="4" w:space="0" w:color="auto"/>
              <w:right w:val="single" w:sz="4" w:space="0" w:color="auto"/>
            </w:tcBorders>
            <w:vAlign w:val="center"/>
          </w:tcPr>
          <w:p w14:paraId="6CEB15CE" w14:textId="77777777" w:rsidR="00645922" w:rsidRPr="006A5D4C" w:rsidRDefault="00645922" w:rsidP="00FC5454">
            <w:pPr>
              <w:rPr>
                <w:bCs/>
                <w:spacing w:val="0"/>
                <w:sz w:val="22"/>
                <w:szCs w:val="22"/>
              </w:rPr>
            </w:pPr>
          </w:p>
        </w:tc>
        <w:tc>
          <w:tcPr>
            <w:tcW w:w="5301" w:type="dxa"/>
            <w:gridSpan w:val="2"/>
            <w:tcBorders>
              <w:top w:val="single" w:sz="4" w:space="0" w:color="auto"/>
              <w:left w:val="nil"/>
              <w:bottom w:val="single" w:sz="4" w:space="0" w:color="auto"/>
              <w:right w:val="single" w:sz="4" w:space="0" w:color="auto"/>
            </w:tcBorders>
            <w:shd w:val="clear" w:color="auto" w:fill="auto"/>
            <w:noWrap/>
            <w:vAlign w:val="bottom"/>
          </w:tcPr>
          <w:p w14:paraId="723A762E" w14:textId="77777777" w:rsidR="00645922" w:rsidRPr="006A5D4C" w:rsidRDefault="00645922" w:rsidP="00FC5454">
            <w:pPr>
              <w:jc w:val="center"/>
              <w:rPr>
                <w:spacing w:val="0"/>
                <w:sz w:val="22"/>
                <w:szCs w:val="22"/>
              </w:rPr>
            </w:pPr>
            <w:r w:rsidRPr="006A5D4C">
              <w:rPr>
                <w:spacing w:val="0"/>
                <w:sz w:val="22"/>
                <w:szCs w:val="22"/>
              </w:rPr>
              <w:t>14.  Euro / Pesos</w:t>
            </w:r>
          </w:p>
        </w:tc>
      </w:tr>
      <w:tr w:rsidR="00645922" w:rsidRPr="006A5D4C" w14:paraId="7658E3B8" w14:textId="77777777" w:rsidTr="00FC5454">
        <w:trPr>
          <w:trHeight w:val="255"/>
        </w:trPr>
        <w:tc>
          <w:tcPr>
            <w:tcW w:w="2181" w:type="dxa"/>
            <w:vMerge w:val="restart"/>
            <w:tcBorders>
              <w:top w:val="single" w:sz="4" w:space="0" w:color="auto"/>
              <w:left w:val="double" w:sz="4" w:space="0" w:color="auto"/>
              <w:bottom w:val="single" w:sz="4" w:space="0" w:color="auto"/>
              <w:right w:val="single" w:sz="4" w:space="0" w:color="auto"/>
            </w:tcBorders>
            <w:shd w:val="clear" w:color="auto" w:fill="auto"/>
            <w:vAlign w:val="center"/>
          </w:tcPr>
          <w:p w14:paraId="5C418D93" w14:textId="77777777" w:rsidR="00645922" w:rsidRPr="008C3955" w:rsidRDefault="00645922" w:rsidP="00FC5454">
            <w:pPr>
              <w:jc w:val="center"/>
              <w:rPr>
                <w:spacing w:val="0"/>
                <w:sz w:val="22"/>
                <w:szCs w:val="22"/>
              </w:rPr>
            </w:pPr>
            <w:r w:rsidRPr="008C3955">
              <w:rPr>
                <w:spacing w:val="0"/>
                <w:sz w:val="22"/>
                <w:szCs w:val="22"/>
              </w:rPr>
              <w:t>Precio de Acciones</w:t>
            </w:r>
          </w:p>
        </w:tc>
        <w:tc>
          <w:tcPr>
            <w:tcW w:w="5301" w:type="dxa"/>
            <w:gridSpan w:val="2"/>
            <w:tcBorders>
              <w:top w:val="single" w:sz="4" w:space="0" w:color="auto"/>
              <w:left w:val="nil"/>
              <w:bottom w:val="single" w:sz="4" w:space="0" w:color="auto"/>
              <w:right w:val="single" w:sz="4" w:space="0" w:color="auto"/>
            </w:tcBorders>
            <w:shd w:val="clear" w:color="auto" w:fill="auto"/>
            <w:noWrap/>
            <w:vAlign w:val="bottom"/>
          </w:tcPr>
          <w:p w14:paraId="742277FD" w14:textId="77777777" w:rsidR="00645922" w:rsidRPr="00790BAE" w:rsidRDefault="00645922" w:rsidP="00FC5454">
            <w:pPr>
              <w:jc w:val="center"/>
              <w:rPr>
                <w:spacing w:val="0"/>
                <w:sz w:val="22"/>
                <w:szCs w:val="22"/>
              </w:rPr>
            </w:pPr>
            <w:r w:rsidRPr="00790BAE">
              <w:rPr>
                <w:spacing w:val="0"/>
                <w:sz w:val="22"/>
                <w:szCs w:val="22"/>
              </w:rPr>
              <w:t>15.  Acciones Colombia</w:t>
            </w:r>
          </w:p>
        </w:tc>
      </w:tr>
      <w:tr w:rsidR="00645922" w:rsidRPr="006A5D4C" w14:paraId="4609C791" w14:textId="77777777" w:rsidTr="00FC5454">
        <w:trPr>
          <w:trHeight w:val="255"/>
        </w:trPr>
        <w:tc>
          <w:tcPr>
            <w:tcW w:w="2181" w:type="dxa"/>
            <w:vMerge/>
            <w:tcBorders>
              <w:top w:val="single" w:sz="4" w:space="0" w:color="auto"/>
              <w:left w:val="double" w:sz="4" w:space="0" w:color="auto"/>
              <w:bottom w:val="single" w:sz="4" w:space="0" w:color="auto"/>
              <w:right w:val="single" w:sz="4" w:space="0" w:color="auto"/>
            </w:tcBorders>
            <w:vAlign w:val="center"/>
          </w:tcPr>
          <w:p w14:paraId="66518E39" w14:textId="77777777" w:rsidR="00645922" w:rsidRPr="006A5D4C" w:rsidRDefault="00645922" w:rsidP="00FC5454">
            <w:pPr>
              <w:rPr>
                <w:bCs/>
                <w:spacing w:val="0"/>
                <w:sz w:val="22"/>
                <w:szCs w:val="22"/>
              </w:rPr>
            </w:pPr>
          </w:p>
        </w:tc>
        <w:tc>
          <w:tcPr>
            <w:tcW w:w="5301" w:type="dxa"/>
            <w:gridSpan w:val="2"/>
            <w:tcBorders>
              <w:top w:val="single" w:sz="4" w:space="0" w:color="auto"/>
              <w:left w:val="nil"/>
              <w:bottom w:val="single" w:sz="4" w:space="0" w:color="auto"/>
              <w:right w:val="single" w:sz="4" w:space="0" w:color="auto"/>
            </w:tcBorders>
            <w:shd w:val="clear" w:color="auto" w:fill="auto"/>
            <w:noWrap/>
            <w:vAlign w:val="bottom"/>
          </w:tcPr>
          <w:p w14:paraId="3F06133A" w14:textId="77777777" w:rsidR="00645922" w:rsidRPr="00790BAE" w:rsidRDefault="00645922" w:rsidP="00FC5454">
            <w:pPr>
              <w:jc w:val="center"/>
              <w:rPr>
                <w:spacing w:val="0"/>
                <w:sz w:val="22"/>
                <w:szCs w:val="22"/>
              </w:rPr>
            </w:pPr>
            <w:r w:rsidRPr="00790BAE">
              <w:rPr>
                <w:spacing w:val="0"/>
                <w:sz w:val="22"/>
                <w:szCs w:val="22"/>
              </w:rPr>
              <w:t>16.  Acciones Global</w:t>
            </w:r>
          </w:p>
        </w:tc>
      </w:tr>
      <w:tr w:rsidR="00645922" w:rsidRPr="006A5D4C" w14:paraId="14F77773" w14:textId="77777777" w:rsidTr="00790BAE">
        <w:trPr>
          <w:trHeight w:val="915"/>
        </w:trPr>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14:paraId="2C57CDCC" w14:textId="77777777" w:rsidR="00645922" w:rsidRPr="006A5D4C" w:rsidRDefault="00645922" w:rsidP="00FC5454">
            <w:pPr>
              <w:jc w:val="center"/>
              <w:rPr>
                <w:bCs/>
                <w:spacing w:val="0"/>
                <w:sz w:val="22"/>
                <w:szCs w:val="22"/>
              </w:rPr>
            </w:pPr>
            <w:r w:rsidRPr="006A5D4C">
              <w:rPr>
                <w:bCs/>
                <w:spacing w:val="0"/>
                <w:sz w:val="22"/>
                <w:szCs w:val="22"/>
              </w:rPr>
              <w:t>Participación en Carteras colectivas</w:t>
            </w:r>
          </w:p>
        </w:tc>
        <w:tc>
          <w:tcPr>
            <w:tcW w:w="5301" w:type="dxa"/>
            <w:gridSpan w:val="2"/>
            <w:tcBorders>
              <w:top w:val="single" w:sz="4" w:space="0" w:color="auto"/>
              <w:left w:val="nil"/>
              <w:bottom w:val="single" w:sz="4" w:space="0" w:color="auto"/>
              <w:right w:val="single" w:sz="4" w:space="0" w:color="auto"/>
            </w:tcBorders>
            <w:shd w:val="clear" w:color="auto" w:fill="auto"/>
            <w:vAlign w:val="center"/>
          </w:tcPr>
          <w:p w14:paraId="10A1A1FB" w14:textId="77777777" w:rsidR="00645922" w:rsidRPr="006A5D4C" w:rsidRDefault="00645922" w:rsidP="00FC5454">
            <w:pPr>
              <w:jc w:val="center"/>
              <w:rPr>
                <w:spacing w:val="0"/>
                <w:sz w:val="22"/>
                <w:szCs w:val="22"/>
              </w:rPr>
            </w:pPr>
            <w:r w:rsidRPr="006A5D4C">
              <w:rPr>
                <w:spacing w:val="0"/>
                <w:sz w:val="22"/>
                <w:szCs w:val="22"/>
              </w:rPr>
              <w:t>17.  Carteras colectivas</w:t>
            </w:r>
          </w:p>
        </w:tc>
      </w:tr>
      <w:tr w:rsidR="00645922" w:rsidRPr="006A5D4C" w14:paraId="59B2C86F" w14:textId="77777777" w:rsidTr="00790BAE">
        <w:trPr>
          <w:trHeight w:val="915"/>
        </w:trPr>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14:paraId="5F8405BB" w14:textId="7EB5B298" w:rsidR="00645922" w:rsidRPr="00D742AA" w:rsidRDefault="00FB7909" w:rsidP="00FC5454">
            <w:pPr>
              <w:jc w:val="center"/>
              <w:rPr>
                <w:b/>
                <w:bCs/>
                <w:spacing w:val="0"/>
                <w:sz w:val="22"/>
                <w:szCs w:val="22"/>
              </w:rPr>
            </w:pPr>
            <w:r w:rsidRPr="00D742AA">
              <w:rPr>
                <w:b/>
                <w:bCs/>
                <w:spacing w:val="0"/>
                <w:sz w:val="22"/>
                <w:szCs w:val="22"/>
              </w:rPr>
              <w:t>Derivados de Crédito</w:t>
            </w:r>
          </w:p>
        </w:tc>
        <w:tc>
          <w:tcPr>
            <w:tcW w:w="5301" w:type="dxa"/>
            <w:gridSpan w:val="2"/>
            <w:tcBorders>
              <w:top w:val="single" w:sz="4" w:space="0" w:color="auto"/>
              <w:left w:val="nil"/>
              <w:bottom w:val="single" w:sz="4" w:space="0" w:color="auto"/>
              <w:right w:val="single" w:sz="4" w:space="0" w:color="auto"/>
            </w:tcBorders>
            <w:shd w:val="clear" w:color="auto" w:fill="auto"/>
            <w:vAlign w:val="center"/>
          </w:tcPr>
          <w:p w14:paraId="132BBE19" w14:textId="1B917804" w:rsidR="00645922" w:rsidRPr="00D742AA" w:rsidRDefault="00645922" w:rsidP="00FC5454">
            <w:pPr>
              <w:jc w:val="center"/>
              <w:rPr>
                <w:b/>
                <w:bCs/>
                <w:spacing w:val="0"/>
                <w:sz w:val="22"/>
                <w:szCs w:val="22"/>
              </w:rPr>
            </w:pPr>
            <w:r w:rsidRPr="00D742AA">
              <w:rPr>
                <w:b/>
                <w:bCs/>
                <w:spacing w:val="0"/>
                <w:sz w:val="22"/>
                <w:szCs w:val="22"/>
              </w:rPr>
              <w:t xml:space="preserve">18. </w:t>
            </w:r>
            <w:r w:rsidR="00FB7909" w:rsidRPr="00D742AA">
              <w:rPr>
                <w:b/>
                <w:bCs/>
                <w:spacing w:val="0"/>
                <w:sz w:val="22"/>
                <w:szCs w:val="22"/>
              </w:rPr>
              <w:t>Derivados de Crédito</w:t>
            </w:r>
          </w:p>
        </w:tc>
      </w:tr>
    </w:tbl>
    <w:p w14:paraId="7E75FCD0" w14:textId="77777777" w:rsidR="00645922" w:rsidRDefault="00645922" w:rsidP="00645922">
      <w:pPr>
        <w:pStyle w:val="Textoindependiente"/>
        <w:rPr>
          <w:spacing w:val="0"/>
          <w:sz w:val="22"/>
          <w:szCs w:val="22"/>
          <w:lang w:val="es-ES_tradnl"/>
        </w:rPr>
      </w:pPr>
    </w:p>
    <w:p w14:paraId="69FDDD4D" w14:textId="77777777" w:rsidR="00645922" w:rsidRDefault="00645922" w:rsidP="008B0B18">
      <w:pPr>
        <w:pStyle w:val="Textoindependiente"/>
        <w:rPr>
          <w:spacing w:val="0"/>
          <w:sz w:val="22"/>
          <w:szCs w:val="22"/>
          <w:lang w:val="es-ES_tradnl"/>
        </w:rPr>
      </w:pPr>
      <w:r w:rsidRPr="006A5D4C">
        <w:rPr>
          <w:spacing w:val="0"/>
          <w:sz w:val="22"/>
          <w:szCs w:val="22"/>
          <w:lang w:val="es-ES_tradnl"/>
        </w:rPr>
        <w:t>* Los componentes principales 1, 2 y 3 describen los choques de tasa paralelo, de pendiente y convexidad respectivamente y se comportan como factores de riesgo independientes.</w:t>
      </w:r>
    </w:p>
    <w:p w14:paraId="10FDAA0E" w14:textId="77777777" w:rsidR="00645922" w:rsidRPr="006A5D4C" w:rsidRDefault="00645922" w:rsidP="00645922">
      <w:pPr>
        <w:pStyle w:val="Textoindependiente"/>
        <w:rPr>
          <w:spacing w:val="0"/>
          <w:sz w:val="22"/>
          <w:szCs w:val="22"/>
          <w:lang w:val="es-ES_tradnl"/>
        </w:rPr>
      </w:pPr>
    </w:p>
    <w:p w14:paraId="774AF2BF" w14:textId="77777777" w:rsidR="00645922" w:rsidRPr="006A5D4C" w:rsidRDefault="00645922" w:rsidP="00645922">
      <w:pPr>
        <w:pStyle w:val="Textoindependiente"/>
        <w:rPr>
          <w:spacing w:val="0"/>
          <w:sz w:val="22"/>
          <w:szCs w:val="22"/>
          <w:lang w:val="es-ES_tradnl"/>
        </w:rPr>
      </w:pPr>
    </w:p>
    <w:p w14:paraId="6F458495" w14:textId="77777777" w:rsidR="00645922" w:rsidRDefault="00645922" w:rsidP="00645922">
      <w:pPr>
        <w:pStyle w:val="Textoindependiente"/>
        <w:keepNext/>
        <w:ind w:left="705" w:hanging="705"/>
        <w:rPr>
          <w:b/>
          <w:spacing w:val="0"/>
          <w:sz w:val="22"/>
          <w:szCs w:val="22"/>
        </w:rPr>
      </w:pPr>
      <w:r w:rsidRPr="006A5D4C">
        <w:rPr>
          <w:b/>
          <w:bCs/>
          <w:spacing w:val="0"/>
          <w:sz w:val="22"/>
          <w:szCs w:val="22"/>
        </w:rPr>
        <w:t>1.6.</w:t>
      </w:r>
      <w:r w:rsidRPr="006A5D4C">
        <w:rPr>
          <w:b/>
          <w:spacing w:val="0"/>
          <w:sz w:val="22"/>
          <w:szCs w:val="22"/>
        </w:rPr>
        <w:t xml:space="preserve">1. </w:t>
      </w:r>
      <w:r w:rsidRPr="006A5D4C">
        <w:rPr>
          <w:b/>
          <w:spacing w:val="0"/>
          <w:sz w:val="22"/>
          <w:szCs w:val="22"/>
        </w:rPr>
        <w:tab/>
        <w:t>Suma aritmética de los VeR de cada factor de riesgo (suma de los Valores en Riesgo de un mismo factor de riesgo).</w:t>
      </w:r>
    </w:p>
    <w:p w14:paraId="7A292896" w14:textId="77777777" w:rsidR="00645922" w:rsidRPr="006A5D4C" w:rsidRDefault="00645922" w:rsidP="00645922">
      <w:pPr>
        <w:pStyle w:val="Textoindependiente"/>
        <w:keepNext/>
        <w:ind w:left="705" w:hanging="705"/>
        <w:rPr>
          <w:b/>
          <w:spacing w:val="0"/>
          <w:sz w:val="22"/>
          <w:szCs w:val="22"/>
        </w:rPr>
      </w:pPr>
    </w:p>
    <w:p w14:paraId="2191599E" w14:textId="77777777" w:rsidR="00645922" w:rsidRPr="006A5D4C" w:rsidRDefault="00645922" w:rsidP="00645922">
      <w:pPr>
        <w:pStyle w:val="Textoindependiente"/>
        <w:keepNext/>
        <w:rPr>
          <w:b/>
          <w:bCs/>
          <w:spacing w:val="0"/>
          <w:sz w:val="22"/>
          <w:szCs w:val="22"/>
        </w:rPr>
      </w:pPr>
    </w:p>
    <w:p w14:paraId="7896799E" w14:textId="77777777" w:rsidR="00645922" w:rsidRDefault="00645922" w:rsidP="00645922">
      <w:pPr>
        <w:pStyle w:val="Textoindependiente"/>
        <w:rPr>
          <w:b/>
          <w:spacing w:val="0"/>
          <w:sz w:val="22"/>
          <w:szCs w:val="22"/>
        </w:rPr>
      </w:pPr>
      <w:r w:rsidRPr="006A5D4C">
        <w:rPr>
          <w:b/>
          <w:spacing w:val="0"/>
          <w:sz w:val="22"/>
          <w:szCs w:val="22"/>
        </w:rPr>
        <w:t>a.  Factores de riesgo con cálculo de exposición por banda de tiempo</w:t>
      </w:r>
    </w:p>
    <w:p w14:paraId="7673E5AE" w14:textId="77777777" w:rsidR="00645922" w:rsidRPr="006A5D4C" w:rsidRDefault="00645922" w:rsidP="00645922">
      <w:pPr>
        <w:pStyle w:val="Textoindependiente"/>
        <w:rPr>
          <w:b/>
          <w:spacing w:val="0"/>
          <w:sz w:val="22"/>
          <w:szCs w:val="22"/>
        </w:rPr>
      </w:pPr>
    </w:p>
    <w:p w14:paraId="041D98D7" w14:textId="77777777" w:rsidR="00645922" w:rsidRPr="006A5D4C" w:rsidRDefault="00645922" w:rsidP="00645922">
      <w:pPr>
        <w:pStyle w:val="Textoindependiente"/>
        <w:rPr>
          <w:spacing w:val="0"/>
          <w:sz w:val="22"/>
          <w:szCs w:val="22"/>
        </w:rPr>
      </w:pPr>
    </w:p>
    <w:p w14:paraId="55B7526E" w14:textId="77777777" w:rsidR="00645922" w:rsidRPr="006A5D4C" w:rsidRDefault="00645922" w:rsidP="00645922">
      <w:pPr>
        <w:pStyle w:val="Textoindependiente"/>
        <w:rPr>
          <w:spacing w:val="0"/>
          <w:sz w:val="22"/>
          <w:szCs w:val="22"/>
        </w:rPr>
      </w:pPr>
      <w:r w:rsidRPr="006A5D4C">
        <w:rPr>
          <w:spacing w:val="0"/>
          <w:sz w:val="22"/>
          <w:szCs w:val="22"/>
          <w:lang w:val="es-ES_tradnl"/>
        </w:rPr>
        <w:t xml:space="preserve">En el caso del riesgo de tasa de interés en moneda legal y extranjera </w:t>
      </w:r>
      <w:r w:rsidRPr="006A5D4C">
        <w:rPr>
          <w:spacing w:val="0"/>
          <w:sz w:val="22"/>
          <w:szCs w:val="22"/>
        </w:rPr>
        <w:t>(</w:t>
      </w:r>
      <w:r w:rsidRPr="006A5D4C">
        <w:rPr>
          <w:i/>
          <w:spacing w:val="0"/>
          <w:sz w:val="22"/>
          <w:szCs w:val="22"/>
        </w:rPr>
        <w:t>Componentes Principales de las Curvas Cero Cupón, pesos, UVR y tesoros</w:t>
      </w:r>
      <w:r w:rsidRPr="006A5D4C">
        <w:rPr>
          <w:spacing w:val="0"/>
          <w:sz w:val="22"/>
          <w:szCs w:val="22"/>
        </w:rPr>
        <w:t>)</w:t>
      </w:r>
      <w:r w:rsidRPr="006A5D4C">
        <w:rPr>
          <w:spacing w:val="0"/>
          <w:sz w:val="22"/>
          <w:szCs w:val="22"/>
          <w:lang w:val="es-ES_tradnl"/>
        </w:rPr>
        <w:t xml:space="preserve">, existe un VeR por banda de tiempo para cada uno de los factores de riesgo (en este caso se aplicará solo para los factores </w:t>
      </w:r>
      <w:smartTag w:uri="urn:schemas-microsoft-com:office:smarttags" w:element="metricconverter">
        <w:smartTagPr>
          <w:attr w:name="ProductID" w:val="1 a"/>
        </w:smartTagPr>
        <w:r w:rsidRPr="006A5D4C">
          <w:rPr>
            <w:spacing w:val="0"/>
            <w:sz w:val="22"/>
            <w:szCs w:val="22"/>
            <w:lang w:val="es-ES_tradnl"/>
          </w:rPr>
          <w:t>1 a</w:t>
        </w:r>
      </w:smartTag>
      <w:r w:rsidRPr="006A5D4C">
        <w:rPr>
          <w:spacing w:val="0"/>
          <w:sz w:val="22"/>
          <w:szCs w:val="22"/>
          <w:lang w:val="es-ES_tradnl"/>
        </w:rPr>
        <w:t xml:space="preserve"> 9 según </w:t>
      </w:r>
      <w:smartTag w:uri="urn:schemas-microsoft-com:office:smarttags" w:element="PersonName">
        <w:smartTagPr>
          <w:attr w:name="ProductID" w:val="la Tabla"/>
        </w:smartTagPr>
        <w:r w:rsidRPr="006A5D4C">
          <w:rPr>
            <w:spacing w:val="0"/>
            <w:sz w:val="22"/>
            <w:szCs w:val="22"/>
            <w:lang w:val="es-ES_tradnl"/>
          </w:rPr>
          <w:t>la Tabla</w:t>
        </w:r>
      </w:smartTag>
      <w:r w:rsidRPr="006A5D4C">
        <w:rPr>
          <w:spacing w:val="0"/>
          <w:sz w:val="22"/>
          <w:szCs w:val="22"/>
          <w:lang w:val="es-ES_tradnl"/>
        </w:rPr>
        <w:t xml:space="preserve"> 5). Este valor en riesgo debe ser agregado aritméticamente de la siguiente forma</w:t>
      </w:r>
      <w:r w:rsidRPr="006A5D4C">
        <w:rPr>
          <w:spacing w:val="0"/>
          <w:sz w:val="22"/>
          <w:szCs w:val="22"/>
        </w:rPr>
        <w:t>.</w:t>
      </w:r>
    </w:p>
    <w:p w14:paraId="5AB7C0C5" w14:textId="77777777" w:rsidR="00645922" w:rsidRDefault="00645922" w:rsidP="00645922">
      <w:pPr>
        <w:jc w:val="both"/>
        <w:rPr>
          <w:snapToGrid w:val="0"/>
          <w:spacing w:val="0"/>
          <w:sz w:val="22"/>
          <w:szCs w:val="22"/>
          <w:lang w:val="es-MX"/>
        </w:rPr>
      </w:pPr>
    </w:p>
    <w:p w14:paraId="55B33694" w14:textId="77777777" w:rsidR="00645922" w:rsidRPr="006A5D4C" w:rsidRDefault="00645922" w:rsidP="00645922">
      <w:pPr>
        <w:jc w:val="both"/>
        <w:rPr>
          <w:snapToGrid w:val="0"/>
          <w:spacing w:val="0"/>
          <w:sz w:val="22"/>
          <w:szCs w:val="22"/>
          <w:lang w:val="es-MX"/>
        </w:rPr>
      </w:pPr>
    </w:p>
    <w:p w14:paraId="4455F193" w14:textId="77777777" w:rsidR="00645922" w:rsidRPr="006A5D4C" w:rsidRDefault="00645922" w:rsidP="00645922">
      <w:pPr>
        <w:jc w:val="center"/>
        <w:rPr>
          <w:snapToGrid w:val="0"/>
          <w:spacing w:val="0"/>
          <w:sz w:val="22"/>
          <w:szCs w:val="22"/>
          <w:lang w:val="es-MX"/>
        </w:rPr>
      </w:pPr>
      <w:r w:rsidRPr="006A5D4C">
        <w:rPr>
          <w:snapToGrid w:val="0"/>
          <w:spacing w:val="0"/>
          <w:position w:val="-28"/>
          <w:sz w:val="22"/>
          <w:szCs w:val="22"/>
          <w:lang w:val="es-MX"/>
        </w:rPr>
        <w:object w:dxaOrig="1620" w:dyaOrig="680" w14:anchorId="71BC0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v:imagedata r:id="rId18" o:title=""/>
          </v:shape>
          <o:OLEObject Type="Embed" ProgID="Equation.3" ShapeID="_x0000_i1025" DrawAspect="Content" ObjectID="_1734849969" r:id="rId19"/>
        </w:object>
      </w:r>
    </w:p>
    <w:p w14:paraId="1C2776EB" w14:textId="77777777" w:rsidR="00645922" w:rsidRPr="006A5D4C" w:rsidRDefault="00645922" w:rsidP="00645922">
      <w:pPr>
        <w:jc w:val="both"/>
        <w:rPr>
          <w:snapToGrid w:val="0"/>
          <w:spacing w:val="0"/>
          <w:sz w:val="22"/>
          <w:szCs w:val="22"/>
          <w:lang w:val="es-MX"/>
        </w:rPr>
      </w:pPr>
    </w:p>
    <w:p w14:paraId="15342E60" w14:textId="77777777" w:rsidR="00645922" w:rsidRDefault="00645922" w:rsidP="00645922">
      <w:pPr>
        <w:pStyle w:val="Textoindependiente"/>
        <w:rPr>
          <w:spacing w:val="0"/>
          <w:sz w:val="22"/>
          <w:szCs w:val="22"/>
          <w:lang w:val="pt-BR"/>
        </w:rPr>
      </w:pPr>
    </w:p>
    <w:p w14:paraId="06D604EC" w14:textId="77777777" w:rsidR="00645922" w:rsidRPr="006A5D4C" w:rsidRDefault="00645922" w:rsidP="00645922">
      <w:pPr>
        <w:pStyle w:val="Textoindependiente"/>
        <w:rPr>
          <w:spacing w:val="0"/>
          <w:sz w:val="22"/>
          <w:szCs w:val="22"/>
          <w:lang w:val="pt-BR"/>
        </w:rPr>
      </w:pPr>
      <w:r w:rsidRPr="006A5D4C">
        <w:rPr>
          <w:spacing w:val="0"/>
          <w:sz w:val="22"/>
          <w:szCs w:val="22"/>
          <w:lang w:val="pt-BR"/>
        </w:rPr>
        <w:t>Donde:</w:t>
      </w:r>
    </w:p>
    <w:p w14:paraId="68A7F839" w14:textId="77777777" w:rsidR="00645922" w:rsidRPr="006A5D4C" w:rsidRDefault="00645922" w:rsidP="00645922">
      <w:pPr>
        <w:pStyle w:val="Textoindependiente"/>
        <w:ind w:firstLine="708"/>
        <w:rPr>
          <w:spacing w:val="0"/>
          <w:sz w:val="22"/>
          <w:szCs w:val="22"/>
          <w:lang w:val="pt-BR"/>
        </w:rPr>
      </w:pPr>
      <w:r w:rsidRPr="006A5D4C">
        <w:rPr>
          <w:spacing w:val="0"/>
          <w:sz w:val="22"/>
          <w:szCs w:val="22"/>
          <w:lang w:val="pt-BR"/>
        </w:rPr>
        <w:t>n:</w:t>
      </w:r>
      <w:r w:rsidRPr="006A5D4C">
        <w:rPr>
          <w:spacing w:val="0"/>
          <w:sz w:val="22"/>
          <w:szCs w:val="22"/>
          <w:lang w:val="pt-BR"/>
        </w:rPr>
        <w:tab/>
        <w:t>Factor de riesgo n, n = 1…..9.</w:t>
      </w:r>
    </w:p>
    <w:p w14:paraId="0B68B47F" w14:textId="77777777" w:rsidR="00645922" w:rsidRDefault="00645922" w:rsidP="00645922">
      <w:pPr>
        <w:pStyle w:val="Textoindependiente"/>
        <w:ind w:left="1418" w:hanging="710"/>
        <w:rPr>
          <w:spacing w:val="0"/>
          <w:sz w:val="22"/>
          <w:szCs w:val="22"/>
          <w:lang w:val="es-ES_tradnl"/>
        </w:rPr>
      </w:pPr>
      <w:r w:rsidRPr="006A5D4C">
        <w:rPr>
          <w:spacing w:val="0"/>
          <w:sz w:val="22"/>
          <w:szCs w:val="22"/>
          <w:lang w:val="es-ES_tradnl"/>
        </w:rPr>
        <w:t>i:</w:t>
      </w:r>
      <w:r w:rsidRPr="006A5D4C">
        <w:rPr>
          <w:spacing w:val="0"/>
          <w:sz w:val="22"/>
          <w:szCs w:val="22"/>
          <w:lang w:val="es-ES_tradnl"/>
        </w:rPr>
        <w:tab/>
        <w:t xml:space="preserve">Banda de tiempo para cálculo de exposición al riesgo de mercado para tasa de interés  </w:t>
      </w:r>
      <w:r w:rsidRPr="006A5D4C">
        <w:rPr>
          <w:spacing w:val="0"/>
          <w:sz w:val="22"/>
          <w:szCs w:val="22"/>
          <w:lang w:val="es-ES_tradnl"/>
        </w:rPr>
        <w:tab/>
      </w:r>
    </w:p>
    <w:p w14:paraId="604E86D3" w14:textId="77777777" w:rsidR="00645922" w:rsidRPr="006A5D4C" w:rsidRDefault="00645922" w:rsidP="00645922">
      <w:pPr>
        <w:pStyle w:val="Textoindependiente"/>
        <w:ind w:firstLine="708"/>
        <w:rPr>
          <w:spacing w:val="0"/>
          <w:sz w:val="22"/>
          <w:szCs w:val="22"/>
          <w:lang w:val="es-ES_tradnl"/>
        </w:rPr>
      </w:pPr>
      <w:r w:rsidRPr="006A5D4C">
        <w:rPr>
          <w:spacing w:val="0"/>
          <w:position w:val="-12"/>
          <w:sz w:val="22"/>
          <w:szCs w:val="22"/>
          <w:lang w:val="es-ES_tradnl"/>
        </w:rPr>
        <w:object w:dxaOrig="560" w:dyaOrig="380" w14:anchorId="77308EF1">
          <v:shape id="_x0000_i1026" type="#_x0000_t75" style="width:28.5pt;height:21.75pt" o:ole="" fillcolor="window">
            <v:imagedata r:id="rId20" o:title=""/>
          </v:shape>
          <o:OLEObject Type="Embed" ProgID="Equation.3" ShapeID="_x0000_i1026" DrawAspect="Content" ObjectID="_1734849970" r:id="rId21"/>
        </w:object>
      </w:r>
      <w:r w:rsidRPr="006A5D4C">
        <w:rPr>
          <w:spacing w:val="0"/>
          <w:sz w:val="22"/>
          <w:szCs w:val="22"/>
          <w:lang w:val="es-ES_tradnl"/>
        </w:rPr>
        <w:t>:</w:t>
      </w:r>
      <w:r w:rsidRPr="006A5D4C">
        <w:rPr>
          <w:spacing w:val="0"/>
          <w:sz w:val="22"/>
          <w:szCs w:val="22"/>
          <w:lang w:val="es-ES_tradnl"/>
        </w:rPr>
        <w:tab/>
        <w:t>Valor en Riesgo de la banda de tiempo i para el factor de riesgo n.</w:t>
      </w:r>
    </w:p>
    <w:p w14:paraId="23018B18" w14:textId="77777777" w:rsidR="00645922" w:rsidRDefault="00645922" w:rsidP="00645922">
      <w:pPr>
        <w:pStyle w:val="Textoindependiente"/>
        <w:ind w:left="1413" w:hanging="705"/>
        <w:rPr>
          <w:spacing w:val="0"/>
          <w:sz w:val="22"/>
          <w:szCs w:val="22"/>
          <w:lang w:val="es-ES_tradnl"/>
        </w:rPr>
      </w:pPr>
      <w:r w:rsidRPr="006A5D4C">
        <w:rPr>
          <w:spacing w:val="0"/>
          <w:position w:val="-12"/>
          <w:sz w:val="22"/>
          <w:szCs w:val="22"/>
          <w:lang w:val="es-ES_tradnl"/>
        </w:rPr>
        <w:object w:dxaOrig="540" w:dyaOrig="380" w14:anchorId="45D63B5F">
          <v:shape id="_x0000_i1027" type="#_x0000_t75" style="width:28.5pt;height:21.75pt" o:ole="" fillcolor="window">
            <v:imagedata r:id="rId22" o:title=""/>
          </v:shape>
          <o:OLEObject Type="Embed" ProgID="Equation.3" ShapeID="_x0000_i1027" DrawAspect="Content" ObjectID="_1734849971" r:id="rId23"/>
        </w:object>
      </w:r>
      <w:r w:rsidRPr="006A5D4C">
        <w:rPr>
          <w:spacing w:val="0"/>
          <w:sz w:val="22"/>
          <w:szCs w:val="22"/>
          <w:lang w:val="es-ES_tradnl"/>
        </w:rPr>
        <w:t>:</w:t>
      </w:r>
      <w:r w:rsidRPr="006A5D4C">
        <w:rPr>
          <w:spacing w:val="0"/>
          <w:sz w:val="22"/>
          <w:szCs w:val="22"/>
          <w:lang w:val="es-ES_tradnl"/>
        </w:rPr>
        <w:tab/>
        <w:t>Valor en riesgo total del factor de riesgo n.</w:t>
      </w:r>
    </w:p>
    <w:p w14:paraId="5EB89DE8" w14:textId="77777777" w:rsidR="00645922" w:rsidRDefault="00645922" w:rsidP="00645922">
      <w:pPr>
        <w:pStyle w:val="Textoindependiente"/>
        <w:ind w:left="1413" w:hanging="705"/>
        <w:rPr>
          <w:spacing w:val="0"/>
          <w:sz w:val="22"/>
          <w:szCs w:val="22"/>
          <w:lang w:val="es-ES_tradnl"/>
        </w:rPr>
      </w:pPr>
    </w:p>
    <w:p w14:paraId="7D62D461" w14:textId="77777777" w:rsidR="00645922" w:rsidRPr="006A5D4C" w:rsidRDefault="00645922" w:rsidP="00645922">
      <w:pPr>
        <w:pStyle w:val="Textoindependiente"/>
        <w:ind w:left="1413" w:hanging="705"/>
        <w:rPr>
          <w:spacing w:val="0"/>
          <w:sz w:val="22"/>
          <w:szCs w:val="22"/>
          <w:lang w:val="es-ES_tradnl"/>
        </w:rPr>
      </w:pPr>
    </w:p>
    <w:p w14:paraId="078B034E" w14:textId="77777777" w:rsidR="00645922" w:rsidRPr="006A5D4C" w:rsidRDefault="00645922" w:rsidP="00645922">
      <w:pPr>
        <w:pStyle w:val="Textoindependiente"/>
        <w:rPr>
          <w:spacing w:val="0"/>
          <w:sz w:val="22"/>
          <w:szCs w:val="22"/>
          <w:lang w:val="es-ES_tradnl"/>
        </w:rPr>
      </w:pPr>
    </w:p>
    <w:p w14:paraId="4E3E36B7" w14:textId="77777777" w:rsidR="00645922" w:rsidRPr="006A5D4C" w:rsidRDefault="00645922" w:rsidP="00645922">
      <w:pPr>
        <w:pStyle w:val="Textoindependiente"/>
        <w:rPr>
          <w:b/>
          <w:spacing w:val="0"/>
          <w:sz w:val="22"/>
          <w:szCs w:val="22"/>
        </w:rPr>
      </w:pPr>
      <w:r w:rsidRPr="006A5D4C">
        <w:rPr>
          <w:b/>
          <w:spacing w:val="0"/>
          <w:sz w:val="22"/>
          <w:szCs w:val="22"/>
          <w:lang w:val="es-ES_tradnl"/>
        </w:rPr>
        <w:t xml:space="preserve">b. </w:t>
      </w:r>
      <w:r w:rsidRPr="006A5D4C">
        <w:rPr>
          <w:b/>
          <w:spacing w:val="0"/>
          <w:sz w:val="22"/>
          <w:szCs w:val="22"/>
        </w:rPr>
        <w:t>Factores de riesgo con cálculo de exposición total (sin bandas de tiempo)</w:t>
      </w:r>
    </w:p>
    <w:p w14:paraId="492506DD" w14:textId="77777777" w:rsidR="00645922" w:rsidRPr="006A5D4C" w:rsidRDefault="00645922" w:rsidP="00645922">
      <w:pPr>
        <w:pStyle w:val="Textoindependiente"/>
        <w:rPr>
          <w:spacing w:val="0"/>
          <w:sz w:val="22"/>
          <w:szCs w:val="22"/>
        </w:rPr>
      </w:pPr>
    </w:p>
    <w:p w14:paraId="69CE8D09" w14:textId="77777777" w:rsidR="00645922" w:rsidRPr="007C3CDD" w:rsidRDefault="00645922" w:rsidP="00645922">
      <w:pPr>
        <w:jc w:val="both"/>
        <w:rPr>
          <w:bCs/>
          <w:spacing w:val="0"/>
          <w:sz w:val="22"/>
          <w:szCs w:val="22"/>
          <w:lang w:val="es-MX"/>
        </w:rPr>
      </w:pPr>
      <w:r w:rsidRPr="007C3CDD">
        <w:rPr>
          <w:bCs/>
          <w:spacing w:val="0"/>
          <w:sz w:val="22"/>
          <w:szCs w:val="22"/>
          <w:lang w:val="es-MX"/>
        </w:rPr>
        <w:t xml:space="preserve">En el caso de los factores de riesgo </w:t>
      </w:r>
      <w:smartTag w:uri="urn:schemas-microsoft-com:office:smarttags" w:element="metricconverter">
        <w:smartTagPr>
          <w:attr w:name="ProductID" w:val="10 a"/>
        </w:smartTagPr>
        <w:r w:rsidRPr="007C3CDD">
          <w:rPr>
            <w:bCs/>
            <w:spacing w:val="0"/>
            <w:sz w:val="22"/>
            <w:szCs w:val="22"/>
            <w:lang w:val="es-MX"/>
          </w:rPr>
          <w:t>10 a</w:t>
        </w:r>
      </w:smartTag>
      <w:r w:rsidRPr="007C3CDD">
        <w:rPr>
          <w:bCs/>
          <w:spacing w:val="0"/>
          <w:sz w:val="22"/>
          <w:szCs w:val="22"/>
          <w:lang w:val="es-MX"/>
        </w:rPr>
        <w:t xml:space="preserve"> 18, listados en </w:t>
      </w:r>
      <w:smartTag w:uri="urn:schemas-microsoft-com:office:smarttags" w:element="PersonName">
        <w:smartTagPr>
          <w:attr w:name="ProductID" w:val="la Tabla"/>
        </w:smartTagPr>
        <w:r w:rsidRPr="007C3CDD">
          <w:rPr>
            <w:bCs/>
            <w:spacing w:val="0"/>
            <w:sz w:val="22"/>
            <w:szCs w:val="22"/>
            <w:lang w:val="es-MX"/>
          </w:rPr>
          <w:t>la Tabla</w:t>
        </w:r>
      </w:smartTag>
      <w:r w:rsidRPr="007C3CDD">
        <w:rPr>
          <w:bCs/>
          <w:spacing w:val="0"/>
          <w:sz w:val="22"/>
          <w:szCs w:val="22"/>
          <w:lang w:val="es-MX"/>
        </w:rPr>
        <w:t xml:space="preserve"> 5, no se hace necesaria una agregación aritmética de la exposición dado que estos no utilizan bandas de tiempo para el cálculo de la exposición. En este caso se tomará el valor de la exposición total calculada, según lo descrito en el presente instructivo.  </w:t>
      </w:r>
    </w:p>
    <w:p w14:paraId="31CD0C16" w14:textId="77777777" w:rsidR="00E432F7" w:rsidRDefault="00E432F7" w:rsidP="00F97C2B">
      <w:pPr>
        <w:jc w:val="both"/>
        <w:rPr>
          <w:bCs/>
          <w:spacing w:val="0"/>
          <w:sz w:val="22"/>
          <w:szCs w:val="22"/>
          <w:lang w:val="es-MX"/>
        </w:rPr>
      </w:pPr>
    </w:p>
    <w:p w14:paraId="7FD8715F" w14:textId="77777777" w:rsidR="00E432F7" w:rsidRPr="006A5D4C" w:rsidRDefault="00E432F7" w:rsidP="00F97C2B">
      <w:pPr>
        <w:jc w:val="both"/>
        <w:rPr>
          <w:bCs/>
          <w:spacing w:val="0"/>
          <w:sz w:val="22"/>
          <w:szCs w:val="22"/>
          <w:lang w:val="es-MX"/>
        </w:rPr>
      </w:pPr>
    </w:p>
    <w:p w14:paraId="6BDFDFC2" w14:textId="77777777" w:rsidR="008A3BE1" w:rsidRDefault="008A3BE1" w:rsidP="00F97C2B">
      <w:pPr>
        <w:jc w:val="both"/>
        <w:rPr>
          <w:bCs/>
          <w:spacing w:val="0"/>
          <w:sz w:val="22"/>
          <w:szCs w:val="22"/>
          <w:lang w:val="es-MX"/>
        </w:rPr>
        <w:sectPr w:rsidR="008A3BE1" w:rsidSect="005F27B3">
          <w:headerReference w:type="first" r:id="rId24"/>
          <w:footerReference w:type="first" r:id="rId25"/>
          <w:pgSz w:w="12242" w:h="18722" w:code="14"/>
          <w:pgMar w:top="1701" w:right="1701" w:bottom="1701" w:left="1701" w:header="709" w:footer="709" w:gutter="0"/>
          <w:cols w:space="708"/>
          <w:titlePg/>
          <w:docGrid w:linePitch="360"/>
        </w:sectPr>
      </w:pPr>
    </w:p>
    <w:p w14:paraId="362073CD" w14:textId="77777777" w:rsidR="00212F8B" w:rsidRPr="006A5D4C" w:rsidRDefault="00212F8B" w:rsidP="00212F8B">
      <w:pPr>
        <w:pStyle w:val="Textoindependiente"/>
        <w:ind w:left="705"/>
        <w:rPr>
          <w:spacing w:val="0"/>
          <w:sz w:val="22"/>
          <w:szCs w:val="22"/>
        </w:rPr>
      </w:pPr>
      <w:r w:rsidRPr="006A5D4C">
        <w:rPr>
          <w:spacing w:val="0"/>
          <w:sz w:val="22"/>
          <w:szCs w:val="22"/>
        </w:rPr>
        <w:lastRenderedPageBreak/>
        <w:t>posiciones en opciones se agruparán según el factor de riesgo asociado al instrumento subyacente.</w:t>
      </w:r>
    </w:p>
    <w:p w14:paraId="6810F0D1" w14:textId="77777777" w:rsidR="00212F8B" w:rsidRPr="006A5D4C" w:rsidRDefault="00212F8B" w:rsidP="00212F8B">
      <w:pPr>
        <w:pStyle w:val="Textoindependiente"/>
        <w:ind w:left="705"/>
        <w:rPr>
          <w:spacing w:val="0"/>
          <w:sz w:val="22"/>
          <w:szCs w:val="22"/>
        </w:rPr>
      </w:pPr>
    </w:p>
    <w:p w14:paraId="276A055C" w14:textId="77777777" w:rsidR="00212F8B" w:rsidRPr="006A5D4C" w:rsidRDefault="00212F8B" w:rsidP="00212F8B">
      <w:pPr>
        <w:pStyle w:val="Textoindependiente"/>
        <w:ind w:left="708"/>
        <w:rPr>
          <w:spacing w:val="0"/>
          <w:sz w:val="22"/>
          <w:szCs w:val="22"/>
        </w:rPr>
      </w:pPr>
      <w:r w:rsidRPr="006A5D4C">
        <w:rPr>
          <w:spacing w:val="0"/>
          <w:sz w:val="22"/>
          <w:szCs w:val="22"/>
        </w:rPr>
        <w:t xml:space="preserve">Para cada grupo se calcula un impacto gamma neto, como la suma de los impactos gamma de todas las posiciones en la agrupación. </w:t>
      </w:r>
    </w:p>
    <w:p w14:paraId="74E797DC" w14:textId="77777777" w:rsidR="00212F8B" w:rsidRPr="006A5D4C" w:rsidRDefault="00212F8B" w:rsidP="00212F8B">
      <w:pPr>
        <w:pStyle w:val="Textoindependiente"/>
        <w:ind w:left="708"/>
        <w:rPr>
          <w:spacing w:val="0"/>
          <w:sz w:val="22"/>
          <w:szCs w:val="22"/>
        </w:rPr>
      </w:pPr>
    </w:p>
    <w:p w14:paraId="1C24D13F" w14:textId="77777777" w:rsidR="00212F8B" w:rsidRPr="006A5D4C" w:rsidRDefault="00212F8B" w:rsidP="00212F8B">
      <w:pPr>
        <w:pStyle w:val="Textoindependiente"/>
        <w:ind w:left="708"/>
        <w:rPr>
          <w:spacing w:val="0"/>
          <w:sz w:val="22"/>
          <w:szCs w:val="22"/>
        </w:rPr>
      </w:pPr>
      <w:r w:rsidRPr="006A5D4C">
        <w:rPr>
          <w:spacing w:val="0"/>
          <w:sz w:val="22"/>
          <w:szCs w:val="22"/>
        </w:rPr>
        <w:t>Cuando el subyacente de la opción, sea el mismo factor de riesgo asociado, este cargo no deberá ser tenido en cuenta.</w:t>
      </w:r>
    </w:p>
    <w:p w14:paraId="25AF7EAE" w14:textId="77777777" w:rsidR="00212F8B" w:rsidRPr="006A5D4C" w:rsidRDefault="00212F8B" w:rsidP="00212F8B">
      <w:pPr>
        <w:pStyle w:val="Textoindependiente"/>
        <w:ind w:left="708"/>
        <w:rPr>
          <w:spacing w:val="0"/>
          <w:sz w:val="22"/>
          <w:szCs w:val="22"/>
        </w:rPr>
      </w:pPr>
    </w:p>
    <w:p w14:paraId="1B12E21D" w14:textId="77777777" w:rsidR="00212F8B" w:rsidRPr="006A5D4C" w:rsidRDefault="00212F8B" w:rsidP="00C82C1B">
      <w:pPr>
        <w:pStyle w:val="Textoindependiente"/>
        <w:numPr>
          <w:ilvl w:val="0"/>
          <w:numId w:val="40"/>
        </w:numPr>
        <w:rPr>
          <w:spacing w:val="0"/>
          <w:sz w:val="22"/>
          <w:szCs w:val="22"/>
        </w:rPr>
      </w:pPr>
      <w:r w:rsidRPr="006A5D4C">
        <w:rPr>
          <w:spacing w:val="0"/>
          <w:sz w:val="22"/>
          <w:szCs w:val="22"/>
        </w:rPr>
        <w:t>Riesgo Vega</w:t>
      </w:r>
    </w:p>
    <w:p w14:paraId="2633CEB9" w14:textId="77777777" w:rsidR="00212F8B" w:rsidRPr="006A5D4C" w:rsidRDefault="00212F8B" w:rsidP="00212F8B">
      <w:pPr>
        <w:pStyle w:val="Textoindependiente"/>
        <w:rPr>
          <w:spacing w:val="0"/>
          <w:sz w:val="22"/>
          <w:szCs w:val="22"/>
        </w:rPr>
      </w:pPr>
    </w:p>
    <w:p w14:paraId="0F8F8EF6" w14:textId="77777777" w:rsidR="00212F8B" w:rsidRPr="006A5D4C" w:rsidRDefault="00212F8B" w:rsidP="00212F8B">
      <w:pPr>
        <w:pStyle w:val="Textoindependiente"/>
        <w:ind w:left="705"/>
        <w:rPr>
          <w:spacing w:val="0"/>
          <w:sz w:val="22"/>
          <w:szCs w:val="22"/>
        </w:rPr>
      </w:pPr>
      <w:r w:rsidRPr="006A5D4C">
        <w:rPr>
          <w:spacing w:val="0"/>
          <w:sz w:val="22"/>
          <w:szCs w:val="22"/>
        </w:rPr>
        <w:t>El riesgo vega refleja la sensibilidad del valor de las posiciones en opciones con respecto a cambios en la volatilidad del valor del instrumento subyacente. El valor en riesgo es calculado como la suma de los impactos vega de cada opción.</w:t>
      </w:r>
    </w:p>
    <w:p w14:paraId="4B1D477B" w14:textId="77777777" w:rsidR="00212F8B" w:rsidRPr="006A5D4C" w:rsidRDefault="00212F8B" w:rsidP="00212F8B">
      <w:pPr>
        <w:pStyle w:val="Textoindependiente"/>
        <w:ind w:left="705"/>
        <w:rPr>
          <w:spacing w:val="0"/>
          <w:sz w:val="22"/>
          <w:szCs w:val="22"/>
        </w:rPr>
      </w:pPr>
    </w:p>
    <w:p w14:paraId="4DDC9F8D" w14:textId="77777777" w:rsidR="00212F8B" w:rsidRPr="006A5D4C" w:rsidRDefault="00212F8B" w:rsidP="00212F8B">
      <w:pPr>
        <w:pStyle w:val="Textoindependiente"/>
        <w:ind w:left="705"/>
        <w:rPr>
          <w:spacing w:val="0"/>
          <w:sz w:val="22"/>
          <w:szCs w:val="22"/>
        </w:rPr>
      </w:pPr>
      <w:r w:rsidRPr="006A5D4C">
        <w:rPr>
          <w:spacing w:val="0"/>
          <w:sz w:val="22"/>
          <w:szCs w:val="22"/>
        </w:rPr>
        <w:t>Estos impactos se calculan aplicando a la volatilidad del valor subyacente asociado un cambio de 25% positivo o negativo según sea la posición (corta o larga), sobre el factor vega correspondiente.</w:t>
      </w:r>
    </w:p>
    <w:p w14:paraId="65BE1F1D" w14:textId="77777777" w:rsidR="00212F8B" w:rsidRPr="006A5D4C" w:rsidRDefault="00212F8B" w:rsidP="00212F8B">
      <w:pPr>
        <w:pStyle w:val="Textoindependiente"/>
        <w:ind w:left="705"/>
        <w:rPr>
          <w:spacing w:val="0"/>
          <w:sz w:val="22"/>
          <w:szCs w:val="22"/>
        </w:rPr>
      </w:pPr>
    </w:p>
    <w:p w14:paraId="1BC7B437" w14:textId="77777777" w:rsidR="00212F8B" w:rsidRPr="006A5D4C" w:rsidRDefault="00212F8B" w:rsidP="00212F8B">
      <w:pPr>
        <w:pStyle w:val="Textoindependiente"/>
        <w:ind w:left="705"/>
        <w:rPr>
          <w:spacing w:val="0"/>
          <w:sz w:val="22"/>
          <w:szCs w:val="22"/>
        </w:rPr>
      </w:pPr>
      <w:r w:rsidRPr="006A5D4C">
        <w:rPr>
          <w:spacing w:val="0"/>
          <w:sz w:val="22"/>
          <w:szCs w:val="22"/>
        </w:rPr>
        <w:t>El factor vega correspondiente mide el cambio del valor de la opción ante un cambio unitario en la volatilidad del valor del instrumento subyacente.</w:t>
      </w:r>
    </w:p>
    <w:p w14:paraId="6AFAB436" w14:textId="77777777" w:rsidR="00212F8B" w:rsidRPr="006A5D4C" w:rsidRDefault="00212F8B" w:rsidP="00212F8B">
      <w:pPr>
        <w:pStyle w:val="Textoindependiente"/>
        <w:ind w:left="705"/>
        <w:rPr>
          <w:spacing w:val="0"/>
          <w:sz w:val="22"/>
          <w:szCs w:val="22"/>
        </w:rPr>
      </w:pPr>
    </w:p>
    <w:p w14:paraId="042C5D41" w14:textId="457F87A7" w:rsidR="00212F8B" w:rsidRPr="00E517D6" w:rsidRDefault="00212F8B" w:rsidP="00E517D6">
      <w:pPr>
        <w:pStyle w:val="Textoindependiente"/>
        <w:rPr>
          <w:spacing w:val="0"/>
          <w:sz w:val="22"/>
          <w:szCs w:val="22"/>
        </w:rPr>
      </w:pPr>
      <w:r w:rsidRPr="006A5D4C">
        <w:rPr>
          <w:spacing w:val="0"/>
          <w:sz w:val="22"/>
          <w:szCs w:val="22"/>
        </w:rPr>
        <w:t>Para el cálculo de los factores de sensibilidad delta, gamma y vega, así como de las volatilidades de los subyacentes que se utilicen en el cálculo del riesgo vega, las instituciones financieras deben aplicar metodologías concordantes con los modelos para la valoración de dichos instrumentos, de acuerdo a lo estipulado en el Capítulo XVIII de la presente circular.</w:t>
      </w:r>
    </w:p>
    <w:p w14:paraId="4D2E12B8" w14:textId="77777777" w:rsidR="00212F8B" w:rsidRPr="006A5D4C" w:rsidRDefault="00212F8B" w:rsidP="00212F8B">
      <w:pPr>
        <w:jc w:val="both"/>
        <w:rPr>
          <w:bCs/>
          <w:spacing w:val="0"/>
          <w:sz w:val="22"/>
          <w:szCs w:val="22"/>
          <w:lang w:val="es-MX"/>
        </w:rPr>
      </w:pPr>
    </w:p>
    <w:p w14:paraId="154BEFAD" w14:textId="77777777" w:rsidR="00212F8B" w:rsidRPr="006A5D4C" w:rsidRDefault="00212F8B" w:rsidP="00212F8B">
      <w:pPr>
        <w:jc w:val="both"/>
        <w:rPr>
          <w:b/>
          <w:spacing w:val="0"/>
          <w:sz w:val="22"/>
          <w:szCs w:val="22"/>
          <w:lang w:val="es-MX"/>
        </w:rPr>
      </w:pPr>
      <w:r w:rsidRPr="006A5D4C">
        <w:rPr>
          <w:b/>
          <w:bCs/>
          <w:spacing w:val="0"/>
          <w:sz w:val="22"/>
          <w:szCs w:val="22"/>
          <w:lang w:val="es-MX"/>
        </w:rPr>
        <w:t xml:space="preserve">1.8 </w:t>
      </w:r>
      <w:r w:rsidRPr="006A5D4C">
        <w:rPr>
          <w:b/>
          <w:bCs/>
          <w:spacing w:val="0"/>
          <w:sz w:val="22"/>
          <w:szCs w:val="22"/>
          <w:lang w:val="es-MX"/>
        </w:rPr>
        <w:tab/>
        <w:t xml:space="preserve">Matrices de choques por componente principal, </w:t>
      </w:r>
      <w:r w:rsidRPr="006A5D4C">
        <w:rPr>
          <w:b/>
          <w:spacing w:val="0"/>
          <w:sz w:val="22"/>
          <w:szCs w:val="22"/>
          <w:lang w:val="es-MX"/>
        </w:rPr>
        <w:t>volatilidades y correlaciones de los factores de riesgo</w:t>
      </w:r>
    </w:p>
    <w:p w14:paraId="308F224F" w14:textId="77777777" w:rsidR="00212F8B" w:rsidRPr="006A5D4C" w:rsidRDefault="00212F8B" w:rsidP="00212F8B">
      <w:pPr>
        <w:jc w:val="both"/>
        <w:rPr>
          <w:snapToGrid w:val="0"/>
          <w:spacing w:val="0"/>
          <w:sz w:val="22"/>
          <w:szCs w:val="22"/>
          <w:lang w:val="es-MX"/>
        </w:rPr>
      </w:pPr>
    </w:p>
    <w:p w14:paraId="28936BD7" w14:textId="77777777" w:rsidR="00212F8B" w:rsidRPr="006A5D4C" w:rsidRDefault="00212F8B" w:rsidP="00212F8B">
      <w:pPr>
        <w:jc w:val="both"/>
        <w:rPr>
          <w:snapToGrid w:val="0"/>
          <w:spacing w:val="0"/>
          <w:sz w:val="22"/>
          <w:szCs w:val="22"/>
          <w:lang w:val="es-MX"/>
        </w:rPr>
      </w:pPr>
      <w:r w:rsidRPr="006A5D4C">
        <w:rPr>
          <w:snapToGrid w:val="0"/>
          <w:spacing w:val="0"/>
          <w:sz w:val="22"/>
          <w:szCs w:val="22"/>
          <w:lang w:val="es-MX"/>
        </w:rPr>
        <w:t>Las matrices de choques por componente principal, las volatilidades y la matriz de correlaciones</w:t>
      </w:r>
      <w:r>
        <w:rPr>
          <w:snapToGrid w:val="0"/>
          <w:spacing w:val="0"/>
          <w:sz w:val="22"/>
          <w:szCs w:val="22"/>
          <w:lang w:val="es-MX"/>
        </w:rPr>
        <w:t xml:space="preserve"> se actualizarán mensualmente, </w:t>
      </w:r>
      <w:r w:rsidRPr="006A5D4C">
        <w:rPr>
          <w:snapToGrid w:val="0"/>
          <w:spacing w:val="0"/>
          <w:sz w:val="22"/>
          <w:szCs w:val="22"/>
          <w:lang w:val="es-MX"/>
        </w:rPr>
        <w:t xml:space="preserve">a más tardar el día 25 de cada mes, o el siguiente día hábil si este último no lo es, a través de la página web de </w:t>
      </w:r>
      <w:smartTag w:uri="urn:schemas-microsoft-com:office:smarttags" w:element="PersonName">
        <w:smartTagPr>
          <w:attr w:name="ProductID" w:val="LA SUPERINTENDENCIA FINANCIERA"/>
        </w:smartTagPr>
        <w:smartTag w:uri="urn:schemas-microsoft-com:office:smarttags" w:element="PersonName">
          <w:smartTagPr>
            <w:attr w:name="ProductID" w:val="la Superintendencia"/>
          </w:smartTagPr>
          <w:r w:rsidRPr="006A5D4C">
            <w:rPr>
              <w:snapToGrid w:val="0"/>
              <w:spacing w:val="0"/>
              <w:sz w:val="22"/>
              <w:szCs w:val="22"/>
              <w:lang w:val="es-MX"/>
            </w:rPr>
            <w:t>la Superintendencia</w:t>
          </w:r>
        </w:smartTag>
        <w:r w:rsidRPr="006A5D4C">
          <w:rPr>
            <w:snapToGrid w:val="0"/>
            <w:spacing w:val="0"/>
            <w:sz w:val="22"/>
            <w:szCs w:val="22"/>
            <w:lang w:val="es-MX"/>
          </w:rPr>
          <w:t xml:space="preserve"> Financiera</w:t>
        </w:r>
      </w:smartTag>
      <w:r w:rsidRPr="006A5D4C">
        <w:rPr>
          <w:snapToGrid w:val="0"/>
          <w:spacing w:val="0"/>
          <w:sz w:val="22"/>
          <w:szCs w:val="22"/>
          <w:lang w:val="es-MX"/>
        </w:rPr>
        <w:t xml:space="preserve"> de Colombia.</w:t>
      </w:r>
    </w:p>
    <w:p w14:paraId="7B969857" w14:textId="77777777" w:rsidR="00212F8B" w:rsidRDefault="00212F8B" w:rsidP="00212F8B">
      <w:pPr>
        <w:jc w:val="both"/>
        <w:rPr>
          <w:snapToGrid w:val="0"/>
          <w:spacing w:val="0"/>
          <w:sz w:val="22"/>
          <w:szCs w:val="22"/>
          <w:lang w:val="es-MX"/>
        </w:rPr>
      </w:pPr>
    </w:p>
    <w:p w14:paraId="68989B90" w14:textId="0408462E" w:rsidR="00212F8B" w:rsidRDefault="00212F8B" w:rsidP="008567F3">
      <w:pPr>
        <w:pBdr>
          <w:left w:val="single" w:sz="4" w:space="4" w:color="auto"/>
        </w:pBdr>
        <w:jc w:val="both"/>
        <w:rPr>
          <w:b/>
          <w:bCs/>
          <w:spacing w:val="0"/>
          <w:sz w:val="22"/>
          <w:szCs w:val="22"/>
          <w:lang w:val="es-MX"/>
        </w:rPr>
      </w:pPr>
      <w:r w:rsidRPr="00602249">
        <w:rPr>
          <w:b/>
          <w:bCs/>
          <w:spacing w:val="0"/>
          <w:sz w:val="22"/>
          <w:szCs w:val="22"/>
          <w:lang w:val="es-MX"/>
        </w:rPr>
        <w:t xml:space="preserve">1.9 </w:t>
      </w:r>
      <w:r>
        <w:rPr>
          <w:b/>
          <w:bCs/>
          <w:spacing w:val="0"/>
          <w:sz w:val="22"/>
          <w:szCs w:val="22"/>
          <w:lang w:val="es-MX"/>
        </w:rPr>
        <w:tab/>
      </w:r>
      <w:r w:rsidRPr="00602249">
        <w:rPr>
          <w:b/>
          <w:bCs/>
          <w:spacing w:val="0"/>
          <w:sz w:val="22"/>
          <w:szCs w:val="22"/>
          <w:lang w:val="es-MX"/>
        </w:rPr>
        <w:t>Evaluación del riesgo de mercado por</w:t>
      </w:r>
      <w:r>
        <w:rPr>
          <w:b/>
          <w:bCs/>
          <w:spacing w:val="0"/>
          <w:sz w:val="22"/>
          <w:szCs w:val="22"/>
          <w:lang w:val="es-MX"/>
        </w:rPr>
        <w:t xml:space="preserve"> operaciones de</w:t>
      </w:r>
      <w:r w:rsidRPr="00602249">
        <w:rPr>
          <w:b/>
          <w:bCs/>
          <w:spacing w:val="0"/>
          <w:sz w:val="22"/>
          <w:szCs w:val="22"/>
          <w:lang w:val="es-MX"/>
        </w:rPr>
        <w:t xml:space="preserve"> </w:t>
      </w:r>
      <w:r w:rsidR="00D52511">
        <w:rPr>
          <w:b/>
          <w:bCs/>
          <w:spacing w:val="0"/>
          <w:sz w:val="22"/>
          <w:szCs w:val="22"/>
          <w:lang w:val="es-MX"/>
        </w:rPr>
        <w:t>d</w:t>
      </w:r>
      <w:r w:rsidR="00FB4223">
        <w:rPr>
          <w:b/>
          <w:bCs/>
          <w:spacing w:val="0"/>
          <w:sz w:val="22"/>
          <w:szCs w:val="22"/>
          <w:lang w:val="es-MX"/>
        </w:rPr>
        <w:t>erivados de Crédito</w:t>
      </w:r>
    </w:p>
    <w:p w14:paraId="0FE634FD" w14:textId="77777777" w:rsidR="00212F8B" w:rsidRDefault="00212F8B" w:rsidP="008567F3">
      <w:pPr>
        <w:jc w:val="both"/>
        <w:rPr>
          <w:b/>
          <w:bCs/>
          <w:spacing w:val="0"/>
          <w:sz w:val="22"/>
          <w:szCs w:val="22"/>
          <w:lang w:val="es-MX"/>
        </w:rPr>
      </w:pPr>
    </w:p>
    <w:p w14:paraId="262F32C1" w14:textId="73646386" w:rsidR="00212F8B" w:rsidRPr="00602249" w:rsidRDefault="00212F8B" w:rsidP="008567F3">
      <w:pPr>
        <w:pBdr>
          <w:left w:val="single" w:sz="4" w:space="4" w:color="auto"/>
        </w:pBdr>
        <w:jc w:val="both"/>
        <w:rPr>
          <w:b/>
          <w:bCs/>
          <w:spacing w:val="0"/>
          <w:sz w:val="22"/>
          <w:szCs w:val="22"/>
          <w:lang w:val="es-ES_tradnl"/>
        </w:rPr>
      </w:pPr>
      <w:r w:rsidRPr="00CE68F1">
        <w:rPr>
          <w:spacing w:val="0"/>
          <w:sz w:val="22"/>
          <w:szCs w:val="22"/>
          <w:lang w:val="es-ES_tradnl"/>
        </w:rPr>
        <w:t>Aquellas entidades que por su régimen de inversiones puedan</w:t>
      </w:r>
      <w:r w:rsidRPr="00602249">
        <w:rPr>
          <w:b/>
          <w:bCs/>
          <w:spacing w:val="0"/>
          <w:sz w:val="22"/>
          <w:szCs w:val="22"/>
          <w:lang w:val="es-ES_tradnl"/>
        </w:rPr>
        <w:t xml:space="preserve"> </w:t>
      </w:r>
      <w:r w:rsidRPr="00CE68F1">
        <w:rPr>
          <w:spacing w:val="0"/>
          <w:sz w:val="22"/>
          <w:szCs w:val="22"/>
          <w:lang w:val="es-ES_tradnl"/>
        </w:rPr>
        <w:t>celebrar</w:t>
      </w:r>
      <w:r w:rsidRPr="00602249">
        <w:rPr>
          <w:b/>
          <w:bCs/>
          <w:spacing w:val="0"/>
          <w:sz w:val="22"/>
          <w:szCs w:val="22"/>
          <w:lang w:val="es-ES_tradnl"/>
        </w:rPr>
        <w:t xml:space="preserve"> </w:t>
      </w:r>
      <w:r w:rsidR="006D3998">
        <w:rPr>
          <w:b/>
          <w:bCs/>
          <w:spacing w:val="0"/>
          <w:sz w:val="22"/>
          <w:szCs w:val="22"/>
          <w:lang w:val="es-ES_tradnl"/>
        </w:rPr>
        <w:t>d</w:t>
      </w:r>
      <w:r w:rsidR="00FB4223">
        <w:rPr>
          <w:b/>
          <w:bCs/>
          <w:spacing w:val="0"/>
          <w:sz w:val="22"/>
          <w:szCs w:val="22"/>
          <w:lang w:val="es-ES_tradnl"/>
        </w:rPr>
        <w:t xml:space="preserve">erivados de </w:t>
      </w:r>
      <w:r w:rsidR="006D3998">
        <w:rPr>
          <w:b/>
          <w:bCs/>
          <w:spacing w:val="0"/>
          <w:sz w:val="22"/>
          <w:szCs w:val="22"/>
          <w:lang w:val="es-ES_tradnl"/>
        </w:rPr>
        <w:t>c</w:t>
      </w:r>
      <w:r w:rsidR="00FB4223">
        <w:rPr>
          <w:b/>
          <w:bCs/>
          <w:spacing w:val="0"/>
          <w:sz w:val="22"/>
          <w:szCs w:val="22"/>
          <w:lang w:val="es-ES_tradnl"/>
        </w:rPr>
        <w:t xml:space="preserve">rédito </w:t>
      </w:r>
      <w:r w:rsidRPr="00CE68F1">
        <w:rPr>
          <w:spacing w:val="0"/>
          <w:sz w:val="22"/>
          <w:szCs w:val="22"/>
          <w:lang w:val="es-ES_tradnl"/>
        </w:rPr>
        <w:t>con fines de negociación o inversión, deberán medir la exposición al riesgo de mercado por estas operaciones de acuerdo con lo señalado en el presente numeral.</w:t>
      </w:r>
    </w:p>
    <w:p w14:paraId="62A1F980" w14:textId="77777777" w:rsidR="00212F8B" w:rsidRDefault="00212F8B" w:rsidP="008567F3">
      <w:pPr>
        <w:jc w:val="both"/>
        <w:rPr>
          <w:bCs/>
          <w:spacing w:val="0"/>
          <w:sz w:val="22"/>
          <w:szCs w:val="22"/>
          <w:lang w:val="es-ES_tradnl"/>
        </w:rPr>
      </w:pPr>
    </w:p>
    <w:p w14:paraId="110A9FE1" w14:textId="1D26CE72" w:rsidR="00212F8B" w:rsidRPr="006A5D4C" w:rsidRDefault="00212F8B" w:rsidP="008567F3">
      <w:pPr>
        <w:pStyle w:val="Textoindependiente"/>
        <w:pBdr>
          <w:left w:val="single" w:sz="4" w:space="4" w:color="auto"/>
        </w:pBdr>
        <w:rPr>
          <w:b/>
          <w:spacing w:val="0"/>
          <w:sz w:val="22"/>
          <w:szCs w:val="22"/>
          <w:lang w:val="es-ES_tradnl"/>
        </w:rPr>
      </w:pPr>
      <w:r>
        <w:rPr>
          <w:b/>
          <w:spacing w:val="0"/>
          <w:sz w:val="22"/>
          <w:szCs w:val="22"/>
          <w:lang w:val="es-ES_tradnl"/>
        </w:rPr>
        <w:t>1.9</w:t>
      </w:r>
      <w:r w:rsidRPr="006A5D4C">
        <w:rPr>
          <w:b/>
          <w:spacing w:val="0"/>
          <w:sz w:val="22"/>
          <w:szCs w:val="22"/>
          <w:lang w:val="es-ES_tradnl"/>
        </w:rPr>
        <w:t xml:space="preserve">.1 Factores de riesgo asociados a </w:t>
      </w:r>
      <w:r>
        <w:rPr>
          <w:b/>
          <w:spacing w:val="0"/>
          <w:sz w:val="22"/>
          <w:szCs w:val="22"/>
          <w:lang w:val="es-ES_tradnl"/>
        </w:rPr>
        <w:t xml:space="preserve">operaciones de </w:t>
      </w:r>
      <w:r w:rsidR="00FB4223">
        <w:rPr>
          <w:b/>
          <w:spacing w:val="0"/>
          <w:sz w:val="22"/>
          <w:szCs w:val="22"/>
          <w:lang w:val="es-ES_tradnl"/>
        </w:rPr>
        <w:t>Derivados de Crédito</w:t>
      </w:r>
    </w:p>
    <w:p w14:paraId="300079F4" w14:textId="77777777" w:rsidR="00212F8B" w:rsidRPr="006A5D4C" w:rsidRDefault="00212F8B" w:rsidP="008567F3">
      <w:pPr>
        <w:pStyle w:val="Textoindependiente"/>
        <w:rPr>
          <w:spacing w:val="0"/>
          <w:sz w:val="22"/>
          <w:szCs w:val="22"/>
          <w:lang w:val="es-ES_tradnl"/>
        </w:rPr>
      </w:pPr>
    </w:p>
    <w:p w14:paraId="3438D48B" w14:textId="4D18BA13" w:rsidR="00212F8B" w:rsidRPr="00602249" w:rsidRDefault="00212F8B" w:rsidP="008567F3">
      <w:pPr>
        <w:pStyle w:val="Textoindependiente"/>
        <w:pBdr>
          <w:left w:val="single" w:sz="4" w:space="4" w:color="auto"/>
        </w:pBdr>
        <w:rPr>
          <w:b/>
          <w:spacing w:val="0"/>
          <w:sz w:val="22"/>
          <w:szCs w:val="22"/>
        </w:rPr>
      </w:pPr>
      <w:r w:rsidRPr="00A857B0">
        <w:rPr>
          <w:bCs/>
          <w:spacing w:val="0"/>
          <w:sz w:val="22"/>
          <w:szCs w:val="22"/>
          <w:lang w:val="es-ES_tradnl"/>
        </w:rPr>
        <w:t>La exposición neta que una entidad tenga</w:t>
      </w:r>
      <w:r w:rsidRPr="00602249">
        <w:rPr>
          <w:b/>
          <w:spacing w:val="0"/>
          <w:sz w:val="22"/>
          <w:szCs w:val="22"/>
          <w:lang w:val="es-ES_tradnl"/>
        </w:rPr>
        <w:t xml:space="preserve"> en </w:t>
      </w:r>
      <w:r w:rsidR="006D3998">
        <w:rPr>
          <w:b/>
          <w:spacing w:val="0"/>
          <w:sz w:val="22"/>
          <w:szCs w:val="22"/>
          <w:lang w:val="es-ES_tradnl"/>
        </w:rPr>
        <w:t>d</w:t>
      </w:r>
      <w:r w:rsidR="00FB4223">
        <w:rPr>
          <w:b/>
          <w:spacing w:val="0"/>
          <w:sz w:val="22"/>
          <w:szCs w:val="22"/>
          <w:lang w:val="es-ES_tradnl"/>
        </w:rPr>
        <w:t xml:space="preserve">erivados de </w:t>
      </w:r>
      <w:r w:rsidR="006D3998">
        <w:rPr>
          <w:b/>
          <w:spacing w:val="0"/>
          <w:sz w:val="22"/>
          <w:szCs w:val="22"/>
          <w:lang w:val="es-ES_tradnl"/>
        </w:rPr>
        <w:t>c</w:t>
      </w:r>
      <w:r w:rsidR="00FB4223">
        <w:rPr>
          <w:b/>
          <w:spacing w:val="0"/>
          <w:sz w:val="22"/>
          <w:szCs w:val="22"/>
          <w:lang w:val="es-ES_tradnl"/>
        </w:rPr>
        <w:t>rédito</w:t>
      </w:r>
      <w:r w:rsidRPr="00602249">
        <w:rPr>
          <w:b/>
          <w:spacing w:val="0"/>
          <w:sz w:val="22"/>
          <w:szCs w:val="22"/>
          <w:lang w:val="es-ES_tradnl"/>
        </w:rPr>
        <w:t xml:space="preserve"> </w:t>
      </w:r>
      <w:r w:rsidRPr="00A857B0">
        <w:rPr>
          <w:spacing w:val="0"/>
          <w:sz w:val="22"/>
          <w:szCs w:val="22"/>
          <w:lang w:val="es-ES_tradnl"/>
        </w:rPr>
        <w:t xml:space="preserve">con fines de negociación o inversión, estarán asociadas </w:t>
      </w:r>
      <w:r w:rsidRPr="00A857B0">
        <w:rPr>
          <w:spacing w:val="0"/>
          <w:sz w:val="22"/>
          <w:szCs w:val="22"/>
        </w:rPr>
        <w:t xml:space="preserve">al factor de riesgo de </w:t>
      </w:r>
      <w:r w:rsidR="006D3998">
        <w:rPr>
          <w:b/>
          <w:spacing w:val="0"/>
          <w:sz w:val="22"/>
          <w:szCs w:val="22"/>
        </w:rPr>
        <w:t>d</w:t>
      </w:r>
      <w:r w:rsidR="00FB4223">
        <w:rPr>
          <w:b/>
          <w:spacing w:val="0"/>
          <w:sz w:val="22"/>
          <w:szCs w:val="22"/>
        </w:rPr>
        <w:t xml:space="preserve">erivados de </w:t>
      </w:r>
      <w:r w:rsidR="006D3998">
        <w:rPr>
          <w:b/>
          <w:spacing w:val="0"/>
          <w:sz w:val="22"/>
          <w:szCs w:val="22"/>
        </w:rPr>
        <w:t>c</w:t>
      </w:r>
      <w:r w:rsidR="00FB4223">
        <w:rPr>
          <w:b/>
          <w:spacing w:val="0"/>
          <w:sz w:val="22"/>
          <w:szCs w:val="22"/>
        </w:rPr>
        <w:t>rédito</w:t>
      </w:r>
      <w:r w:rsidRPr="00602249">
        <w:rPr>
          <w:b/>
          <w:spacing w:val="0"/>
          <w:sz w:val="22"/>
          <w:szCs w:val="22"/>
        </w:rPr>
        <w:t>.</w:t>
      </w:r>
    </w:p>
    <w:p w14:paraId="299D8616" w14:textId="7A61C4F0" w:rsidR="00212F8B" w:rsidRPr="00136BF3" w:rsidRDefault="00212F8B" w:rsidP="008567F3">
      <w:pPr>
        <w:pStyle w:val="Textoindependiente"/>
        <w:rPr>
          <w:b/>
          <w:bCs/>
          <w:spacing w:val="0"/>
          <w:sz w:val="22"/>
          <w:szCs w:val="22"/>
          <w:lang w:val="es-ES_tradnl"/>
        </w:rPr>
      </w:pPr>
    </w:p>
    <w:p w14:paraId="736487BB" w14:textId="46650E20" w:rsidR="005863B6" w:rsidRPr="005627FB" w:rsidRDefault="005863B6" w:rsidP="00A66E17">
      <w:pPr>
        <w:pStyle w:val="Textoindependiente"/>
        <w:pBdr>
          <w:left w:val="single" w:sz="4" w:space="4" w:color="auto"/>
        </w:pBdr>
        <w:rPr>
          <w:b/>
          <w:bCs/>
          <w:spacing w:val="0"/>
          <w:sz w:val="22"/>
          <w:szCs w:val="22"/>
        </w:rPr>
      </w:pPr>
      <w:r w:rsidRPr="00136BF3">
        <w:rPr>
          <w:b/>
          <w:bCs/>
          <w:spacing w:val="0"/>
          <w:sz w:val="22"/>
          <w:szCs w:val="22"/>
        </w:rPr>
        <w:t>Cuando se trate de</w:t>
      </w:r>
      <w:r w:rsidRPr="005627FB">
        <w:rPr>
          <w:b/>
          <w:bCs/>
          <w:spacing w:val="0"/>
          <w:sz w:val="22"/>
          <w:szCs w:val="22"/>
        </w:rPr>
        <w:t xml:space="preserve"> </w:t>
      </w:r>
      <w:r w:rsidR="006D3998">
        <w:rPr>
          <w:b/>
          <w:bCs/>
          <w:spacing w:val="0"/>
          <w:sz w:val="22"/>
          <w:szCs w:val="22"/>
        </w:rPr>
        <w:t>d</w:t>
      </w:r>
      <w:r w:rsidRPr="005627FB">
        <w:rPr>
          <w:b/>
          <w:bCs/>
          <w:spacing w:val="0"/>
          <w:sz w:val="22"/>
          <w:szCs w:val="22"/>
        </w:rPr>
        <w:t xml:space="preserve">erivados de </w:t>
      </w:r>
      <w:r w:rsidR="006D3998">
        <w:rPr>
          <w:b/>
          <w:bCs/>
          <w:spacing w:val="0"/>
          <w:sz w:val="22"/>
          <w:szCs w:val="22"/>
        </w:rPr>
        <w:t>c</w:t>
      </w:r>
      <w:r w:rsidRPr="005627FB">
        <w:rPr>
          <w:b/>
          <w:bCs/>
          <w:spacing w:val="0"/>
          <w:sz w:val="22"/>
          <w:szCs w:val="22"/>
        </w:rPr>
        <w:t xml:space="preserve">rédito que, de acuerdo con su valoración, no puedan descomponerse y se asemejen en su comportamiento y estructura a una opción, el riesgo de mercado deberá calcularse de acuerdo con las reglas contenidas en el numeral 1.7 del presente </w:t>
      </w:r>
      <w:r w:rsidR="006D3998">
        <w:rPr>
          <w:b/>
          <w:bCs/>
          <w:spacing w:val="0"/>
          <w:sz w:val="22"/>
          <w:szCs w:val="22"/>
        </w:rPr>
        <w:t>Anexo</w:t>
      </w:r>
      <w:r w:rsidRPr="005627FB">
        <w:rPr>
          <w:b/>
          <w:bCs/>
          <w:spacing w:val="0"/>
          <w:sz w:val="22"/>
          <w:szCs w:val="22"/>
        </w:rPr>
        <w:t>.</w:t>
      </w:r>
    </w:p>
    <w:p w14:paraId="6FC4FE81" w14:textId="77777777" w:rsidR="005863B6" w:rsidRPr="006A5D4C" w:rsidRDefault="005863B6" w:rsidP="00A66E17">
      <w:pPr>
        <w:pStyle w:val="Textoindependiente"/>
        <w:rPr>
          <w:spacing w:val="0"/>
          <w:sz w:val="22"/>
          <w:szCs w:val="22"/>
          <w:lang w:val="es-ES_tradnl"/>
        </w:rPr>
      </w:pPr>
    </w:p>
    <w:p w14:paraId="7CDA3D03" w14:textId="77777777" w:rsidR="00212F8B" w:rsidRPr="006A5D4C" w:rsidRDefault="00212F8B" w:rsidP="00A66E17">
      <w:pPr>
        <w:pStyle w:val="Textoindependiente"/>
        <w:rPr>
          <w:b/>
          <w:spacing w:val="0"/>
          <w:sz w:val="22"/>
          <w:szCs w:val="22"/>
          <w:lang w:val="es-ES_tradnl"/>
        </w:rPr>
      </w:pPr>
      <w:r>
        <w:rPr>
          <w:b/>
          <w:spacing w:val="0"/>
          <w:sz w:val="22"/>
          <w:szCs w:val="22"/>
          <w:lang w:val="es-ES_tradnl"/>
        </w:rPr>
        <w:t>1.9</w:t>
      </w:r>
      <w:r w:rsidRPr="006A5D4C">
        <w:rPr>
          <w:b/>
          <w:spacing w:val="0"/>
          <w:sz w:val="22"/>
          <w:szCs w:val="22"/>
          <w:lang w:val="es-ES_tradnl"/>
        </w:rPr>
        <w:t xml:space="preserve">.2   </w:t>
      </w:r>
      <w:r w:rsidRPr="006A5D4C">
        <w:rPr>
          <w:b/>
          <w:spacing w:val="0"/>
          <w:sz w:val="22"/>
          <w:szCs w:val="22"/>
        </w:rPr>
        <w:t>Cálculo de la exposición neta y sensibilidad al riesgo</w:t>
      </w:r>
    </w:p>
    <w:p w14:paraId="491D2769" w14:textId="77777777" w:rsidR="00212F8B" w:rsidRDefault="00212F8B" w:rsidP="00A66E17">
      <w:pPr>
        <w:jc w:val="both"/>
        <w:rPr>
          <w:bCs/>
          <w:spacing w:val="0"/>
          <w:sz w:val="22"/>
          <w:szCs w:val="22"/>
          <w:lang w:val="es-ES_tradnl"/>
        </w:rPr>
      </w:pPr>
    </w:p>
    <w:p w14:paraId="740C982E" w14:textId="4CA350DB" w:rsidR="00212F8B" w:rsidRDefault="00212F8B" w:rsidP="00A66E17">
      <w:pPr>
        <w:pStyle w:val="Textoindependiente"/>
        <w:pBdr>
          <w:left w:val="single" w:sz="4" w:space="4" w:color="auto"/>
        </w:pBdr>
        <w:rPr>
          <w:b/>
          <w:spacing w:val="0"/>
          <w:sz w:val="22"/>
          <w:szCs w:val="22"/>
        </w:rPr>
      </w:pPr>
      <w:r w:rsidRPr="00A66E17">
        <w:rPr>
          <w:bCs/>
          <w:spacing w:val="0"/>
          <w:sz w:val="22"/>
          <w:szCs w:val="22"/>
        </w:rPr>
        <w:t>La exposición neta en posiciones en</w:t>
      </w:r>
      <w:r w:rsidRPr="00CF6513">
        <w:rPr>
          <w:b/>
          <w:spacing w:val="0"/>
          <w:sz w:val="22"/>
          <w:szCs w:val="22"/>
        </w:rPr>
        <w:t xml:space="preserve"> </w:t>
      </w:r>
      <w:r w:rsidR="006E7E4C">
        <w:rPr>
          <w:b/>
          <w:spacing w:val="0"/>
          <w:sz w:val="22"/>
          <w:szCs w:val="22"/>
        </w:rPr>
        <w:t>Derivados de Crédito</w:t>
      </w:r>
      <w:r>
        <w:rPr>
          <w:b/>
          <w:spacing w:val="0"/>
          <w:sz w:val="22"/>
          <w:szCs w:val="22"/>
        </w:rPr>
        <w:t xml:space="preserve"> </w:t>
      </w:r>
      <w:r w:rsidRPr="00A66E17">
        <w:rPr>
          <w:bCs/>
          <w:spacing w:val="0"/>
          <w:sz w:val="22"/>
          <w:szCs w:val="22"/>
        </w:rPr>
        <w:t>deberá calcularse como la suma de las posiciones de las operaciones de</w:t>
      </w:r>
      <w:r>
        <w:rPr>
          <w:b/>
          <w:spacing w:val="0"/>
          <w:sz w:val="22"/>
          <w:szCs w:val="22"/>
        </w:rPr>
        <w:t xml:space="preserve"> </w:t>
      </w:r>
      <w:r w:rsidR="006E7E4C">
        <w:rPr>
          <w:b/>
          <w:spacing w:val="0"/>
          <w:sz w:val="22"/>
          <w:szCs w:val="22"/>
        </w:rPr>
        <w:t xml:space="preserve">Derivados de Crédito </w:t>
      </w:r>
      <w:r w:rsidRPr="00A66E17">
        <w:rPr>
          <w:bCs/>
          <w:spacing w:val="0"/>
          <w:sz w:val="22"/>
          <w:szCs w:val="22"/>
        </w:rPr>
        <w:t>de la entidad.</w:t>
      </w:r>
    </w:p>
    <w:p w14:paraId="2C024E9D" w14:textId="720FB86A" w:rsidR="00A66E17" w:rsidRDefault="00A66E17" w:rsidP="00A66E17">
      <w:pPr>
        <w:pStyle w:val="Textoindependiente"/>
        <w:rPr>
          <w:b/>
          <w:spacing w:val="0"/>
          <w:sz w:val="22"/>
          <w:szCs w:val="22"/>
        </w:rPr>
      </w:pPr>
    </w:p>
    <w:p w14:paraId="6022B28B" w14:textId="77777777" w:rsidR="00A66E17" w:rsidRDefault="00A66E17" w:rsidP="00A66E17">
      <w:pPr>
        <w:pStyle w:val="Textoindependiente"/>
        <w:rPr>
          <w:b/>
          <w:spacing w:val="0"/>
          <w:sz w:val="22"/>
          <w:szCs w:val="22"/>
        </w:rPr>
      </w:pPr>
    </w:p>
    <w:p w14:paraId="3C08CCAE" w14:textId="77777777" w:rsidR="00212F8B" w:rsidRPr="009B6FC2" w:rsidRDefault="00212F8B" w:rsidP="009B6FC2">
      <w:pPr>
        <w:pStyle w:val="Textoindependiente"/>
        <w:rPr>
          <w:bCs/>
          <w:spacing w:val="0"/>
          <w:sz w:val="22"/>
          <w:szCs w:val="22"/>
        </w:rPr>
      </w:pPr>
      <w:r w:rsidRPr="009B6FC2">
        <w:rPr>
          <w:bCs/>
          <w:spacing w:val="0"/>
          <w:sz w:val="22"/>
          <w:szCs w:val="22"/>
        </w:rPr>
        <w:lastRenderedPageBreak/>
        <w:t>El valor en riesgo para este factor de riesgo se calculará de la siguiente forma:</w:t>
      </w:r>
    </w:p>
    <w:p w14:paraId="15C78039" w14:textId="77777777" w:rsidR="00212F8B" w:rsidRPr="009B6FC2" w:rsidRDefault="00212F8B" w:rsidP="009B6FC2">
      <w:pPr>
        <w:pStyle w:val="Textoindependiente"/>
        <w:rPr>
          <w:bCs/>
          <w:spacing w:val="0"/>
          <w:sz w:val="22"/>
          <w:szCs w:val="22"/>
        </w:rPr>
      </w:pPr>
    </w:p>
    <w:p w14:paraId="527D639D" w14:textId="77777777" w:rsidR="00212F8B" w:rsidRPr="009B6FC2" w:rsidRDefault="0048615E" w:rsidP="009B6FC2">
      <w:pPr>
        <w:pStyle w:val="Textoindependiente"/>
        <w:jc w:val="center"/>
        <w:rPr>
          <w:bCs/>
          <w:spacing w:val="0"/>
          <w:sz w:val="22"/>
          <w:szCs w:val="22"/>
        </w:rPr>
      </w:pPr>
      <w:r w:rsidRPr="009B6FC2">
        <w:rPr>
          <w:bCs/>
          <w:noProof/>
        </w:rPr>
        <w:drawing>
          <wp:inline distT="0" distB="0" distL="0" distR="0" wp14:anchorId="413F2095" wp14:editId="07777777">
            <wp:extent cx="1771650" cy="21907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l="35788" r="35799" b="32196"/>
                    <a:stretch>
                      <a:fillRect/>
                    </a:stretch>
                  </pic:blipFill>
                  <pic:spPr bwMode="auto">
                    <a:xfrm>
                      <a:off x="0" y="0"/>
                      <a:ext cx="1771650" cy="219075"/>
                    </a:xfrm>
                    <a:prstGeom prst="rect">
                      <a:avLst/>
                    </a:prstGeom>
                    <a:noFill/>
                    <a:ln>
                      <a:noFill/>
                    </a:ln>
                  </pic:spPr>
                </pic:pic>
              </a:graphicData>
            </a:graphic>
          </wp:inline>
        </w:drawing>
      </w:r>
    </w:p>
    <w:p w14:paraId="5101B52C" w14:textId="77777777" w:rsidR="00212F8B" w:rsidRPr="009B6FC2" w:rsidRDefault="00212F8B" w:rsidP="009B6FC2">
      <w:pPr>
        <w:jc w:val="both"/>
        <w:rPr>
          <w:bCs/>
          <w:spacing w:val="0"/>
          <w:sz w:val="22"/>
          <w:szCs w:val="22"/>
          <w:lang w:val="es-MX"/>
        </w:rPr>
      </w:pPr>
    </w:p>
    <w:p w14:paraId="57A2A84E" w14:textId="77777777" w:rsidR="00212F8B" w:rsidRPr="009B6FC2" w:rsidRDefault="00212F8B" w:rsidP="009B6FC2">
      <w:pPr>
        <w:jc w:val="both"/>
        <w:rPr>
          <w:bCs/>
          <w:spacing w:val="0"/>
          <w:sz w:val="22"/>
          <w:szCs w:val="22"/>
          <w:lang w:val="es-MX"/>
        </w:rPr>
      </w:pPr>
      <w:r w:rsidRPr="009B6FC2">
        <w:rPr>
          <w:bCs/>
          <w:spacing w:val="0"/>
          <w:sz w:val="22"/>
          <w:szCs w:val="22"/>
          <w:lang w:val="es-MX"/>
        </w:rPr>
        <w:t>Donde:</w:t>
      </w:r>
    </w:p>
    <w:p w14:paraId="3C8EC45C" w14:textId="77777777" w:rsidR="00212F8B" w:rsidRPr="009B6FC2" w:rsidRDefault="00212F8B" w:rsidP="009B6FC2">
      <w:pPr>
        <w:jc w:val="both"/>
        <w:rPr>
          <w:bCs/>
          <w:spacing w:val="0"/>
          <w:sz w:val="22"/>
          <w:szCs w:val="22"/>
          <w:lang w:val="es-MX"/>
        </w:rPr>
      </w:pPr>
    </w:p>
    <w:p w14:paraId="795744DC" w14:textId="77777777" w:rsidR="00212F8B" w:rsidRPr="009B6FC2" w:rsidRDefault="00212F8B" w:rsidP="009B6FC2">
      <w:pPr>
        <w:jc w:val="both"/>
        <w:rPr>
          <w:bCs/>
          <w:spacing w:val="0"/>
          <w:sz w:val="22"/>
          <w:szCs w:val="22"/>
          <w:lang w:val="es-MX"/>
        </w:rPr>
      </w:pPr>
      <w:r w:rsidRPr="009B6FC2">
        <w:rPr>
          <w:bCs/>
          <w:spacing w:val="0"/>
          <w:sz w:val="22"/>
          <w:szCs w:val="22"/>
          <w:lang w:val="es-MX"/>
        </w:rPr>
        <w:t>VeR: Valor en riesgo por variación en el factor de riesgo.</w:t>
      </w:r>
    </w:p>
    <w:p w14:paraId="72901DD2" w14:textId="37BF48AB" w:rsidR="00212F8B" w:rsidRPr="00055EF0" w:rsidRDefault="00212F8B" w:rsidP="009B6FC2">
      <w:pPr>
        <w:pBdr>
          <w:left w:val="single" w:sz="4" w:space="4" w:color="auto"/>
        </w:pBdr>
        <w:jc w:val="both"/>
        <w:rPr>
          <w:b/>
          <w:spacing w:val="0"/>
          <w:sz w:val="22"/>
          <w:szCs w:val="22"/>
          <w:lang w:val="es-MX"/>
        </w:rPr>
      </w:pPr>
      <w:r w:rsidRPr="009B6FC2">
        <w:rPr>
          <w:bCs/>
          <w:spacing w:val="0"/>
          <w:sz w:val="22"/>
          <w:szCs w:val="22"/>
          <w:lang w:val="es-MX"/>
        </w:rPr>
        <w:t>EN: valor absoluto de la exposición neta de posiciones atadas al factor de riesgo</w:t>
      </w:r>
      <w:r>
        <w:rPr>
          <w:b/>
          <w:spacing w:val="0"/>
          <w:sz w:val="22"/>
          <w:szCs w:val="22"/>
          <w:lang w:val="es-MX"/>
        </w:rPr>
        <w:t xml:space="preserve"> de </w:t>
      </w:r>
      <w:r w:rsidR="00B62E82">
        <w:rPr>
          <w:b/>
          <w:spacing w:val="0"/>
          <w:sz w:val="22"/>
          <w:szCs w:val="22"/>
          <w:lang w:val="es-MX"/>
        </w:rPr>
        <w:t>derivados de crédito</w:t>
      </w:r>
    </w:p>
    <w:p w14:paraId="72175582" w14:textId="307048F4" w:rsidR="00212F8B" w:rsidRPr="009B6FC2" w:rsidRDefault="00212F8B" w:rsidP="009B6FC2">
      <w:pPr>
        <w:jc w:val="both"/>
        <w:rPr>
          <w:bCs/>
          <w:spacing w:val="0"/>
          <w:sz w:val="22"/>
          <w:szCs w:val="22"/>
          <w:lang w:val="es-ES_tradnl"/>
        </w:rPr>
      </w:pPr>
      <w:r w:rsidRPr="009B6FC2">
        <w:rPr>
          <w:bCs/>
          <w:spacing w:val="0"/>
          <w:sz w:val="22"/>
          <w:szCs w:val="22"/>
          <w:lang w:val="es-MX"/>
        </w:rPr>
        <w:t xml:space="preserve">σ: Volatilidad asociada al factor de riesgo de </w:t>
      </w:r>
      <w:r w:rsidR="00AB180D" w:rsidRPr="009B6FC2">
        <w:rPr>
          <w:bCs/>
          <w:spacing w:val="0"/>
          <w:sz w:val="22"/>
          <w:szCs w:val="22"/>
          <w:lang w:val="es-MX"/>
        </w:rPr>
        <w:t>Derivados de Crédito</w:t>
      </w:r>
    </w:p>
    <w:p w14:paraId="326DC100" w14:textId="77777777" w:rsidR="00212F8B" w:rsidRPr="006A5D4C" w:rsidRDefault="00212F8B" w:rsidP="00212F8B">
      <w:pPr>
        <w:pStyle w:val="Textoindependiente"/>
        <w:keepNext/>
        <w:rPr>
          <w:spacing w:val="0"/>
          <w:sz w:val="22"/>
          <w:szCs w:val="22"/>
        </w:rPr>
      </w:pPr>
    </w:p>
    <w:p w14:paraId="36C28074" w14:textId="77777777" w:rsidR="00212F8B" w:rsidRPr="006A5D4C" w:rsidRDefault="00212F8B" w:rsidP="00212F8B">
      <w:pPr>
        <w:pStyle w:val="Textoindependiente"/>
        <w:keepNext/>
        <w:rPr>
          <w:b/>
          <w:bCs/>
          <w:spacing w:val="0"/>
          <w:sz w:val="22"/>
          <w:szCs w:val="22"/>
        </w:rPr>
      </w:pPr>
      <w:r w:rsidRPr="006A5D4C">
        <w:rPr>
          <w:b/>
          <w:spacing w:val="0"/>
          <w:sz w:val="22"/>
          <w:szCs w:val="22"/>
        </w:rPr>
        <w:t xml:space="preserve">2.  REGLAS RELATIVAS A LOS REPORTES DE INFORMACION </w:t>
      </w:r>
    </w:p>
    <w:p w14:paraId="0A821549" w14:textId="77777777" w:rsidR="00212F8B" w:rsidRPr="006A5D4C" w:rsidRDefault="00212F8B" w:rsidP="00212F8B">
      <w:pPr>
        <w:pStyle w:val="Textoindependiente"/>
        <w:keepNext/>
        <w:rPr>
          <w:bCs/>
          <w:spacing w:val="0"/>
          <w:sz w:val="22"/>
          <w:szCs w:val="22"/>
        </w:rPr>
      </w:pPr>
    </w:p>
    <w:p w14:paraId="4A81387A" w14:textId="77777777" w:rsidR="00212F8B" w:rsidRPr="006A5D4C" w:rsidRDefault="00212F8B" w:rsidP="00212F8B">
      <w:pPr>
        <w:pStyle w:val="Textoindependiente"/>
        <w:keepNext/>
        <w:rPr>
          <w:spacing w:val="0"/>
          <w:sz w:val="22"/>
          <w:szCs w:val="22"/>
          <w:lang w:val="es-ES_tradnl"/>
        </w:rPr>
      </w:pPr>
      <w:r w:rsidRPr="006A5D4C">
        <w:rPr>
          <w:spacing w:val="0"/>
          <w:sz w:val="22"/>
          <w:szCs w:val="22"/>
          <w:lang w:val="es-ES_tradnl"/>
        </w:rPr>
        <w:t xml:space="preserve">Los resultados de la medición de riesgos de mercado deben reportarse a </w:t>
      </w:r>
      <w:smartTag w:uri="urn:schemas-microsoft-com:office:smarttags" w:element="PersonName">
        <w:smartTagPr>
          <w:attr w:name="ProductID" w:val="LA SUPERINTENDENCIA FINANCIERA"/>
        </w:smartTagPr>
        <w:r w:rsidRPr="006A5D4C">
          <w:rPr>
            <w:spacing w:val="0"/>
            <w:sz w:val="22"/>
            <w:szCs w:val="22"/>
            <w:lang w:val="es-ES_tradnl"/>
          </w:rPr>
          <w:t xml:space="preserve">la </w:t>
        </w:r>
        <w:r w:rsidRPr="006A5D4C">
          <w:rPr>
            <w:bCs/>
            <w:spacing w:val="0"/>
            <w:sz w:val="22"/>
            <w:szCs w:val="22"/>
            <w:lang w:val="es-ES_tradnl"/>
          </w:rPr>
          <w:t>Superintendencia Financiera</w:t>
        </w:r>
      </w:smartTag>
      <w:r w:rsidRPr="006A5D4C">
        <w:rPr>
          <w:bCs/>
          <w:spacing w:val="0"/>
          <w:sz w:val="22"/>
          <w:szCs w:val="22"/>
          <w:lang w:val="es-ES_tradnl"/>
        </w:rPr>
        <w:t xml:space="preserve"> de Colombia</w:t>
      </w:r>
      <w:r w:rsidRPr="006A5D4C">
        <w:rPr>
          <w:spacing w:val="0"/>
          <w:sz w:val="22"/>
          <w:szCs w:val="22"/>
          <w:lang w:val="es-ES_tradnl"/>
        </w:rPr>
        <w:t xml:space="preserve"> con la periodicidad establecida en los formatos previstos para este propósito.</w:t>
      </w:r>
    </w:p>
    <w:p w14:paraId="66FDCF4E" w14:textId="77777777" w:rsidR="00212F8B" w:rsidRPr="006A5D4C" w:rsidRDefault="00212F8B" w:rsidP="00212F8B">
      <w:pPr>
        <w:pStyle w:val="Textoindependiente"/>
        <w:rPr>
          <w:spacing w:val="0"/>
          <w:sz w:val="22"/>
          <w:szCs w:val="22"/>
          <w:lang w:val="es-ES_tradnl"/>
        </w:rPr>
      </w:pPr>
    </w:p>
    <w:p w14:paraId="3BEE236D" w14:textId="77777777" w:rsidR="00F97C2B" w:rsidRPr="006A5D4C" w:rsidRDefault="00F97C2B" w:rsidP="00212F8B">
      <w:pPr>
        <w:pStyle w:val="Textoindependiente"/>
        <w:ind w:left="705"/>
        <w:rPr>
          <w:spacing w:val="0"/>
          <w:sz w:val="22"/>
          <w:szCs w:val="22"/>
          <w:lang w:val="es-ES_tradnl"/>
        </w:rPr>
      </w:pPr>
    </w:p>
    <w:sectPr w:rsidR="00F97C2B" w:rsidRPr="006A5D4C" w:rsidSect="00645922">
      <w:headerReference w:type="first" r:id="rId27"/>
      <w:footerReference w:type="first" r:id="rId28"/>
      <w:pgSz w:w="12242" w:h="18722" w:code="14"/>
      <w:pgMar w:top="1701" w:right="1701" w:bottom="1701" w:left="1701" w:header="709" w:footer="709" w:gutter="0"/>
      <w:pgNumType w:start="1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B2542" w14:textId="77777777" w:rsidR="00A80BED" w:rsidRDefault="00A80BED">
      <w:r>
        <w:separator/>
      </w:r>
    </w:p>
  </w:endnote>
  <w:endnote w:type="continuationSeparator" w:id="0">
    <w:p w14:paraId="4D751AC7" w14:textId="77777777" w:rsidR="00A80BED" w:rsidRDefault="00A8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50CC" w14:textId="77777777" w:rsidR="00821C58" w:rsidRDefault="00821C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9383" w14:textId="0EBCC104" w:rsidR="003D4694" w:rsidRPr="00DD4E6C" w:rsidRDefault="00DD4E6C" w:rsidP="00DD4E6C">
    <w:pPr>
      <w:pStyle w:val="Piedepgina"/>
    </w:pPr>
    <w:r w:rsidRPr="00E24251">
      <w:rPr>
        <w:rStyle w:val="Nmerodepgina"/>
        <w:b/>
        <w:bCs/>
        <w:spacing w:val="0"/>
        <w:sz w:val="20"/>
        <w:szCs w:val="20"/>
        <w:lang w:val="pt-BR"/>
      </w:rPr>
      <w:t>Circular Externa</w:t>
    </w:r>
    <w:r>
      <w:rPr>
        <w:rStyle w:val="Nmerodepgina"/>
        <w:b/>
        <w:bCs/>
        <w:spacing w:val="0"/>
        <w:sz w:val="20"/>
        <w:szCs w:val="20"/>
        <w:lang w:val="pt-BR"/>
      </w:rPr>
      <w:t xml:space="preserve"> xxx </w:t>
    </w:r>
    <w:r w:rsidRPr="00E24251">
      <w:rPr>
        <w:rStyle w:val="Nmerodepgina"/>
        <w:b/>
        <w:bCs/>
        <w:spacing w:val="0"/>
        <w:sz w:val="20"/>
        <w:szCs w:val="20"/>
        <w:lang w:val="pt-BR"/>
      </w:rPr>
      <w:t>de</w:t>
    </w:r>
    <w:r>
      <w:rPr>
        <w:rStyle w:val="Nmerodepgina"/>
        <w:b/>
        <w:bCs/>
        <w:spacing w:val="0"/>
        <w:sz w:val="20"/>
        <w:szCs w:val="20"/>
        <w:lang w:val="pt-BR"/>
      </w:rPr>
      <w:t xml:space="preserve"> 202</w:t>
    </w:r>
    <w:r w:rsidR="00821C58">
      <w:rPr>
        <w:rStyle w:val="Nmerodepgina"/>
        <w:b/>
        <w:bCs/>
        <w:spacing w:val="0"/>
        <w:sz w:val="20"/>
        <w:szCs w:val="20"/>
        <w:lang w:val="pt-BR"/>
      </w:rPr>
      <w:t>3</w:t>
    </w:r>
    <w:r>
      <w:rPr>
        <w:rStyle w:val="Nmerodepgina"/>
        <w:b/>
        <w:bCs/>
        <w:spacing w:val="0"/>
        <w:sz w:val="20"/>
        <w:szCs w:val="20"/>
        <w:lang w:val="pt-BR"/>
      </w:rPr>
      <w:t xml:space="preserve">                                                                            </w:t>
    </w:r>
    <w:r w:rsidR="006A0289">
      <w:rPr>
        <w:rStyle w:val="Nmerodepgina"/>
        <w:b/>
        <w:bCs/>
        <w:spacing w:val="0"/>
        <w:sz w:val="20"/>
        <w:szCs w:val="20"/>
        <w:lang w:val="pt-BR"/>
      </w:rPr>
      <w:t xml:space="preserve">         Enero de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B873" w14:textId="4DFC937E" w:rsidR="00247354" w:rsidRDefault="00247354" w:rsidP="00247354">
    <w:pPr>
      <w:pStyle w:val="Piedepgina"/>
    </w:pPr>
    <w:r w:rsidRPr="00E24251">
      <w:rPr>
        <w:rStyle w:val="Nmerodepgina"/>
        <w:b/>
        <w:bCs/>
        <w:spacing w:val="0"/>
        <w:sz w:val="20"/>
        <w:szCs w:val="20"/>
        <w:lang w:val="pt-BR"/>
      </w:rPr>
      <w:t>Circular Externa</w:t>
    </w:r>
    <w:r>
      <w:rPr>
        <w:rStyle w:val="Nmerodepgina"/>
        <w:b/>
        <w:bCs/>
        <w:spacing w:val="0"/>
        <w:sz w:val="20"/>
        <w:szCs w:val="20"/>
        <w:lang w:val="pt-BR"/>
      </w:rPr>
      <w:t xml:space="preserve"> </w:t>
    </w:r>
    <w:r w:rsidR="008F33C7">
      <w:rPr>
        <w:rStyle w:val="Nmerodepgina"/>
        <w:b/>
        <w:bCs/>
        <w:spacing w:val="0"/>
        <w:sz w:val="20"/>
        <w:szCs w:val="20"/>
        <w:lang w:val="pt-BR"/>
      </w:rPr>
      <w:t>xxx</w:t>
    </w:r>
    <w:r>
      <w:rPr>
        <w:rStyle w:val="Nmerodepgina"/>
        <w:b/>
        <w:bCs/>
        <w:spacing w:val="0"/>
        <w:sz w:val="20"/>
        <w:szCs w:val="20"/>
        <w:lang w:val="pt-BR"/>
      </w:rPr>
      <w:t xml:space="preserve"> </w:t>
    </w:r>
    <w:r w:rsidRPr="00E24251">
      <w:rPr>
        <w:rStyle w:val="Nmerodepgina"/>
        <w:b/>
        <w:bCs/>
        <w:spacing w:val="0"/>
        <w:sz w:val="20"/>
        <w:szCs w:val="20"/>
        <w:lang w:val="pt-BR"/>
      </w:rPr>
      <w:t>de</w:t>
    </w:r>
    <w:r>
      <w:rPr>
        <w:rStyle w:val="Nmerodepgina"/>
        <w:b/>
        <w:bCs/>
        <w:spacing w:val="0"/>
        <w:sz w:val="20"/>
        <w:szCs w:val="20"/>
        <w:lang w:val="pt-BR"/>
      </w:rPr>
      <w:t xml:space="preserve"> </w:t>
    </w:r>
    <w:r w:rsidR="008F33C7">
      <w:rPr>
        <w:rStyle w:val="Nmerodepgina"/>
        <w:b/>
        <w:bCs/>
        <w:spacing w:val="0"/>
        <w:sz w:val="20"/>
        <w:szCs w:val="20"/>
        <w:lang w:val="pt-BR"/>
      </w:rPr>
      <w:t>202</w:t>
    </w:r>
    <w:r w:rsidR="00821C58">
      <w:rPr>
        <w:rStyle w:val="Nmerodepgina"/>
        <w:b/>
        <w:bCs/>
        <w:spacing w:val="0"/>
        <w:sz w:val="20"/>
        <w:szCs w:val="20"/>
        <w:lang w:val="pt-BR"/>
      </w:rPr>
      <w:t>3</w:t>
    </w:r>
    <w:r>
      <w:rPr>
        <w:rStyle w:val="Nmerodepgina"/>
        <w:b/>
        <w:bCs/>
        <w:spacing w:val="0"/>
        <w:sz w:val="20"/>
        <w:szCs w:val="20"/>
        <w:lang w:val="pt-BR"/>
      </w:rPr>
      <w:t xml:space="preserve">                                                                            </w:t>
    </w:r>
    <w:r w:rsidR="006A0289">
      <w:rPr>
        <w:rStyle w:val="Nmerodepgina"/>
        <w:b/>
        <w:bCs/>
        <w:spacing w:val="0"/>
        <w:sz w:val="20"/>
        <w:szCs w:val="20"/>
        <w:lang w:val="pt-BR"/>
      </w:rPr>
      <w:t xml:space="preserve">         Enero</w:t>
    </w:r>
    <w:r>
      <w:rPr>
        <w:rStyle w:val="Nmerodepgina"/>
        <w:b/>
        <w:bCs/>
        <w:spacing w:val="0"/>
        <w:sz w:val="20"/>
        <w:szCs w:val="20"/>
        <w:lang w:val="pt-BR"/>
      </w:rPr>
      <w:t xml:space="preserve"> de 20</w:t>
    </w:r>
    <w:r w:rsidR="008F33C7">
      <w:rPr>
        <w:rStyle w:val="Nmerodepgina"/>
        <w:b/>
        <w:bCs/>
        <w:spacing w:val="0"/>
        <w:sz w:val="20"/>
        <w:szCs w:val="20"/>
        <w:lang w:val="pt-BR"/>
      </w:rPr>
      <w:t>2</w:t>
    </w:r>
    <w:r w:rsidR="006A0289">
      <w:rPr>
        <w:rStyle w:val="Nmerodepgina"/>
        <w:b/>
        <w:bCs/>
        <w:spacing w:val="0"/>
        <w:sz w:val="20"/>
        <w:szCs w:val="20"/>
        <w:lang w:val="pt-BR"/>
      </w:rPr>
      <w:t>3</w:t>
    </w:r>
  </w:p>
  <w:p w14:paraId="46FC4A0D" w14:textId="77777777" w:rsidR="00247354" w:rsidRDefault="00247354" w:rsidP="00247354">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089B" w14:textId="0D82C45B" w:rsidR="008A3BE1" w:rsidRPr="00F37DFD" w:rsidRDefault="00F37DFD" w:rsidP="00F37DFD">
    <w:pPr>
      <w:pStyle w:val="Piedepgina"/>
    </w:pPr>
    <w:r w:rsidRPr="00E24251">
      <w:rPr>
        <w:rStyle w:val="Nmerodepgina"/>
        <w:b/>
        <w:bCs/>
        <w:spacing w:val="0"/>
        <w:sz w:val="20"/>
        <w:szCs w:val="20"/>
        <w:lang w:val="pt-BR"/>
      </w:rPr>
      <w:t>Circular Externa</w:t>
    </w:r>
    <w:r>
      <w:rPr>
        <w:rStyle w:val="Nmerodepgina"/>
        <w:b/>
        <w:bCs/>
        <w:spacing w:val="0"/>
        <w:sz w:val="20"/>
        <w:szCs w:val="20"/>
        <w:lang w:val="pt-BR"/>
      </w:rPr>
      <w:t xml:space="preserve"> xxx </w:t>
    </w:r>
    <w:r w:rsidRPr="00E24251">
      <w:rPr>
        <w:rStyle w:val="Nmerodepgina"/>
        <w:b/>
        <w:bCs/>
        <w:spacing w:val="0"/>
        <w:sz w:val="20"/>
        <w:szCs w:val="20"/>
        <w:lang w:val="pt-BR"/>
      </w:rPr>
      <w:t>de</w:t>
    </w:r>
    <w:r>
      <w:rPr>
        <w:rStyle w:val="Nmerodepgina"/>
        <w:b/>
        <w:bCs/>
        <w:spacing w:val="0"/>
        <w:sz w:val="20"/>
        <w:szCs w:val="20"/>
        <w:lang w:val="pt-BR"/>
      </w:rPr>
      <w:t xml:space="preserve"> 202</w:t>
    </w:r>
    <w:r w:rsidR="00821C58">
      <w:rPr>
        <w:rStyle w:val="Nmerodepgina"/>
        <w:b/>
        <w:bCs/>
        <w:spacing w:val="0"/>
        <w:sz w:val="20"/>
        <w:szCs w:val="20"/>
        <w:lang w:val="pt-BR"/>
      </w:rPr>
      <w:t>3</w:t>
    </w:r>
    <w:r>
      <w:rPr>
        <w:rStyle w:val="Nmerodepgina"/>
        <w:b/>
        <w:bCs/>
        <w:spacing w:val="0"/>
        <w:sz w:val="20"/>
        <w:szCs w:val="20"/>
        <w:lang w:val="pt-BR"/>
      </w:rPr>
      <w:t xml:space="preserve">                                                                            </w:t>
    </w:r>
    <w:r w:rsidR="006A0289">
      <w:rPr>
        <w:rStyle w:val="Nmerodepgina"/>
        <w:b/>
        <w:bCs/>
        <w:spacing w:val="0"/>
        <w:sz w:val="20"/>
        <w:szCs w:val="20"/>
        <w:lang w:val="pt-BR"/>
      </w:rPr>
      <w:t xml:space="preserve">         Enero de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C294" w14:textId="3F38370B" w:rsidR="00B27876" w:rsidRPr="00F37DFD" w:rsidRDefault="00B27876" w:rsidP="00B27876">
    <w:pPr>
      <w:pStyle w:val="Piedepgina"/>
    </w:pPr>
    <w:r w:rsidRPr="00E24251">
      <w:rPr>
        <w:rStyle w:val="Nmerodepgina"/>
        <w:b/>
        <w:bCs/>
        <w:spacing w:val="0"/>
        <w:sz w:val="20"/>
        <w:szCs w:val="20"/>
        <w:lang w:val="pt-BR"/>
      </w:rPr>
      <w:t>Circular Externa</w:t>
    </w:r>
    <w:r>
      <w:rPr>
        <w:rStyle w:val="Nmerodepgina"/>
        <w:b/>
        <w:bCs/>
        <w:spacing w:val="0"/>
        <w:sz w:val="20"/>
        <w:szCs w:val="20"/>
        <w:lang w:val="pt-BR"/>
      </w:rPr>
      <w:t xml:space="preserve"> xxx </w:t>
    </w:r>
    <w:r w:rsidRPr="00E24251">
      <w:rPr>
        <w:rStyle w:val="Nmerodepgina"/>
        <w:b/>
        <w:bCs/>
        <w:spacing w:val="0"/>
        <w:sz w:val="20"/>
        <w:szCs w:val="20"/>
        <w:lang w:val="pt-BR"/>
      </w:rPr>
      <w:t>de</w:t>
    </w:r>
    <w:r>
      <w:rPr>
        <w:rStyle w:val="Nmerodepgina"/>
        <w:b/>
        <w:bCs/>
        <w:spacing w:val="0"/>
        <w:sz w:val="20"/>
        <w:szCs w:val="20"/>
        <w:lang w:val="pt-BR"/>
      </w:rPr>
      <w:t xml:space="preserve"> 202</w:t>
    </w:r>
    <w:r w:rsidR="00821C58">
      <w:rPr>
        <w:rStyle w:val="Nmerodepgina"/>
        <w:b/>
        <w:bCs/>
        <w:spacing w:val="0"/>
        <w:sz w:val="20"/>
        <w:szCs w:val="20"/>
        <w:lang w:val="pt-BR"/>
      </w:rPr>
      <w:t>3</w:t>
    </w:r>
    <w:r>
      <w:rPr>
        <w:rStyle w:val="Nmerodepgina"/>
        <w:b/>
        <w:bCs/>
        <w:spacing w:val="0"/>
        <w:sz w:val="20"/>
        <w:szCs w:val="20"/>
        <w:lang w:val="pt-BR"/>
      </w:rPr>
      <w:t xml:space="preserve">                                                                            </w:t>
    </w:r>
    <w:r w:rsidR="006A0289">
      <w:rPr>
        <w:rStyle w:val="Nmerodepgina"/>
        <w:b/>
        <w:bCs/>
        <w:spacing w:val="0"/>
        <w:sz w:val="20"/>
        <w:szCs w:val="20"/>
        <w:lang w:val="pt-BR"/>
      </w:rPr>
      <w:t xml:space="preserve">         Enero de 2023</w:t>
    </w:r>
  </w:p>
  <w:p w14:paraId="38AA98D6" w14:textId="77777777" w:rsidR="008A3BE1" w:rsidRDefault="008A3BE1">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1115" w14:textId="44F79F2C" w:rsidR="005A5E9E" w:rsidRPr="00DD4E6C" w:rsidRDefault="00DD4E6C" w:rsidP="00DD4E6C">
    <w:pPr>
      <w:pStyle w:val="Piedepgina"/>
    </w:pPr>
    <w:r w:rsidRPr="00E24251">
      <w:rPr>
        <w:rStyle w:val="Nmerodepgina"/>
        <w:b/>
        <w:bCs/>
        <w:spacing w:val="0"/>
        <w:sz w:val="20"/>
        <w:szCs w:val="20"/>
        <w:lang w:val="pt-BR"/>
      </w:rPr>
      <w:t>Circular Externa</w:t>
    </w:r>
    <w:r>
      <w:rPr>
        <w:rStyle w:val="Nmerodepgina"/>
        <w:b/>
        <w:bCs/>
        <w:spacing w:val="0"/>
        <w:sz w:val="20"/>
        <w:szCs w:val="20"/>
        <w:lang w:val="pt-BR"/>
      </w:rPr>
      <w:t xml:space="preserve"> xxx </w:t>
    </w:r>
    <w:r w:rsidRPr="00E24251">
      <w:rPr>
        <w:rStyle w:val="Nmerodepgina"/>
        <w:b/>
        <w:bCs/>
        <w:spacing w:val="0"/>
        <w:sz w:val="20"/>
        <w:szCs w:val="20"/>
        <w:lang w:val="pt-BR"/>
      </w:rPr>
      <w:t>de</w:t>
    </w:r>
    <w:r>
      <w:rPr>
        <w:rStyle w:val="Nmerodepgina"/>
        <w:b/>
        <w:bCs/>
        <w:spacing w:val="0"/>
        <w:sz w:val="20"/>
        <w:szCs w:val="20"/>
        <w:lang w:val="pt-BR"/>
      </w:rPr>
      <w:t xml:space="preserve"> 202</w:t>
    </w:r>
    <w:r w:rsidR="00821C58">
      <w:rPr>
        <w:rStyle w:val="Nmerodepgina"/>
        <w:b/>
        <w:bCs/>
        <w:spacing w:val="0"/>
        <w:sz w:val="20"/>
        <w:szCs w:val="20"/>
        <w:lang w:val="pt-BR"/>
      </w:rPr>
      <w:t>3</w:t>
    </w:r>
    <w:r>
      <w:rPr>
        <w:rStyle w:val="Nmerodepgina"/>
        <w:b/>
        <w:bCs/>
        <w:spacing w:val="0"/>
        <w:sz w:val="20"/>
        <w:szCs w:val="20"/>
        <w:lang w:val="pt-BR"/>
      </w:rPr>
      <w:t xml:space="preserve">                                                                            </w:t>
    </w:r>
    <w:r w:rsidR="006A0289">
      <w:rPr>
        <w:rStyle w:val="Nmerodepgina"/>
        <w:b/>
        <w:bCs/>
        <w:spacing w:val="0"/>
        <w:sz w:val="20"/>
        <w:szCs w:val="20"/>
        <w:lang w:val="pt-BR"/>
      </w:rPr>
      <w:t xml:space="preserve">         Enero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31D3" w14:textId="77777777" w:rsidR="00A80BED" w:rsidRDefault="00A80BED">
      <w:r>
        <w:separator/>
      </w:r>
    </w:p>
  </w:footnote>
  <w:footnote w:type="continuationSeparator" w:id="0">
    <w:p w14:paraId="5E148421" w14:textId="77777777" w:rsidR="00A80BED" w:rsidRDefault="00A80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9D0B" w14:textId="77777777" w:rsidR="00821C58" w:rsidRDefault="00821C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A701" w14:textId="77777777" w:rsidR="00413940" w:rsidRDefault="00413940" w:rsidP="00413940">
    <w:pPr>
      <w:pStyle w:val="Piedepgina"/>
      <w:ind w:left="855" w:hanging="855"/>
      <w:rPr>
        <w:rStyle w:val="Nmerodepgina"/>
        <w:b/>
        <w:bCs/>
        <w:sz w:val="18"/>
        <w:szCs w:val="18"/>
      </w:rPr>
    </w:pPr>
    <w:r>
      <w:rPr>
        <w:b/>
        <w:bCs/>
        <w:spacing w:val="0"/>
        <w:sz w:val="18"/>
        <w:szCs w:val="18"/>
        <w:lang w:val="es-MX"/>
      </w:rPr>
      <w:t>ANEXO 2:</w:t>
    </w:r>
    <w:r>
      <w:rPr>
        <w:b/>
        <w:bCs/>
        <w:spacing w:val="0"/>
        <w:sz w:val="18"/>
        <w:szCs w:val="18"/>
        <w:lang w:val="es-MX"/>
      </w:rPr>
      <w:tab/>
    </w:r>
    <w:r>
      <w:rPr>
        <w:b/>
        <w:bCs/>
        <w:spacing w:val="0"/>
        <w:sz w:val="18"/>
        <w:szCs w:val="18"/>
      </w:rPr>
      <w:t>CAPITULO XXI</w:t>
    </w:r>
    <w:r>
      <w:rPr>
        <w:rStyle w:val="Nmerodepgina"/>
        <w:b/>
        <w:bCs/>
        <w:spacing w:val="0"/>
        <w:sz w:val="18"/>
        <w:szCs w:val="18"/>
      </w:rPr>
      <w:t xml:space="preserve"> REGLAS RELATIVAS A LA ADMINISTRACIÓN DE LOS RIESGOS DE MERCADO </w:t>
    </w:r>
  </w:p>
  <w:p w14:paraId="0DBD921B" w14:textId="77777777" w:rsidR="00413940" w:rsidRDefault="00413940" w:rsidP="00413940">
    <w:pPr>
      <w:pStyle w:val="Piedepgina"/>
      <w:rPr>
        <w:rStyle w:val="Nmerodepgina"/>
        <w:b/>
        <w:bCs/>
        <w:spacing w:val="0"/>
        <w:sz w:val="18"/>
        <w:szCs w:val="18"/>
      </w:rPr>
    </w:pPr>
    <w:r>
      <w:rPr>
        <w:rStyle w:val="Nmerodepgina"/>
        <w:b/>
        <w:bCs/>
        <w:spacing w:val="0"/>
        <w:sz w:val="18"/>
        <w:szCs w:val="18"/>
      </w:rPr>
      <w:t xml:space="preserve">Página </w:t>
    </w:r>
    <w:r>
      <w:rPr>
        <w:rStyle w:val="Nmerodepgina"/>
        <w:b/>
        <w:bCs/>
        <w:spacing w:val="0"/>
        <w:sz w:val="18"/>
        <w:szCs w:val="18"/>
      </w:rPr>
      <w:fldChar w:fldCharType="begin"/>
    </w:r>
    <w:r>
      <w:rPr>
        <w:rStyle w:val="Nmerodepgina"/>
        <w:b/>
        <w:bCs/>
        <w:spacing w:val="0"/>
        <w:sz w:val="18"/>
        <w:szCs w:val="18"/>
      </w:rPr>
      <w:instrText xml:space="preserve"> PAGE </w:instrText>
    </w:r>
    <w:r>
      <w:rPr>
        <w:rStyle w:val="Nmerodepgina"/>
        <w:b/>
        <w:bCs/>
        <w:spacing w:val="0"/>
        <w:sz w:val="18"/>
        <w:szCs w:val="18"/>
      </w:rPr>
      <w:fldChar w:fldCharType="separate"/>
    </w:r>
    <w:r>
      <w:rPr>
        <w:rStyle w:val="Nmerodepgina"/>
        <w:b/>
        <w:bCs/>
        <w:sz w:val="18"/>
        <w:szCs w:val="18"/>
      </w:rPr>
      <w:t>18</w:t>
    </w:r>
    <w:r>
      <w:rPr>
        <w:rStyle w:val="Nmerodepgina"/>
        <w:b/>
        <w:bCs/>
        <w:spacing w:val="0"/>
        <w:sz w:val="18"/>
        <w:szCs w:val="18"/>
      </w:rPr>
      <w:fldChar w:fldCharType="end"/>
    </w:r>
  </w:p>
  <w:p w14:paraId="713A256F" w14:textId="77777777" w:rsidR="00413940" w:rsidRDefault="0041394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D1BF" w14:textId="77777777" w:rsidR="003D4694" w:rsidRPr="00CA6425" w:rsidRDefault="003D4694" w:rsidP="003D4694">
    <w:pPr>
      <w:pStyle w:val="Encabezado"/>
      <w:jc w:val="center"/>
      <w:rPr>
        <w:b/>
        <w:sz w:val="24"/>
        <w:szCs w:val="24"/>
      </w:rPr>
    </w:pPr>
    <w:r>
      <w:rPr>
        <w:b/>
        <w:sz w:val="24"/>
        <w:szCs w:val="24"/>
      </w:rPr>
      <w:t>SUPERINTENDENCIA FINANCIERA DE COLOMBIA</w:t>
    </w:r>
  </w:p>
  <w:p w14:paraId="7CB33CA5" w14:textId="77777777" w:rsidR="003D4694" w:rsidRDefault="003D4694" w:rsidP="003D4694">
    <w:pPr>
      <w:pStyle w:val="Encabezado"/>
      <w:jc w:val="both"/>
      <w:rPr>
        <w:sz w:val="20"/>
        <w:szCs w:val="20"/>
        <w:lang w:val="es-MX"/>
      </w:rPr>
    </w:pPr>
  </w:p>
  <w:p w14:paraId="73B67FF7" w14:textId="77777777" w:rsidR="003D4694" w:rsidRPr="007E2C90" w:rsidRDefault="003D4694" w:rsidP="003D4694">
    <w:pPr>
      <w:pStyle w:val="Piedepgina"/>
      <w:ind w:left="855" w:hanging="855"/>
      <w:rPr>
        <w:rStyle w:val="Nmerodepgina"/>
        <w:b/>
        <w:bCs/>
        <w:spacing w:val="0"/>
        <w:sz w:val="18"/>
        <w:szCs w:val="18"/>
      </w:rPr>
    </w:pPr>
    <w:r>
      <w:rPr>
        <w:b/>
        <w:bCs/>
        <w:spacing w:val="0"/>
        <w:sz w:val="18"/>
        <w:szCs w:val="18"/>
        <w:lang w:val="es-MX"/>
      </w:rPr>
      <w:t>ANEXO 2:</w:t>
    </w:r>
    <w:r>
      <w:rPr>
        <w:b/>
        <w:bCs/>
        <w:spacing w:val="0"/>
        <w:sz w:val="18"/>
        <w:szCs w:val="18"/>
        <w:lang w:val="es-MX"/>
      </w:rPr>
      <w:tab/>
    </w:r>
    <w:r w:rsidRPr="00201D0E">
      <w:rPr>
        <w:b/>
        <w:bCs/>
        <w:spacing w:val="0"/>
        <w:sz w:val="18"/>
        <w:szCs w:val="18"/>
      </w:rPr>
      <w:t>CAPITULO</w:t>
    </w:r>
    <w:r>
      <w:rPr>
        <w:b/>
        <w:bCs/>
        <w:spacing w:val="0"/>
        <w:sz w:val="18"/>
        <w:szCs w:val="18"/>
      </w:rPr>
      <w:t xml:space="preserve"> XXI</w:t>
    </w:r>
    <w:r>
      <w:rPr>
        <w:rStyle w:val="Nmerodepgina"/>
        <w:b/>
        <w:bCs/>
        <w:spacing w:val="0"/>
        <w:sz w:val="18"/>
        <w:szCs w:val="18"/>
      </w:rPr>
      <w:t xml:space="preserve"> </w:t>
    </w:r>
    <w:r w:rsidRPr="007E2C90">
      <w:rPr>
        <w:rStyle w:val="Nmerodepgina"/>
        <w:b/>
        <w:bCs/>
        <w:spacing w:val="0"/>
        <w:sz w:val="18"/>
        <w:szCs w:val="18"/>
      </w:rPr>
      <w:t xml:space="preserve">REGLAS </w:t>
    </w:r>
    <w:r>
      <w:rPr>
        <w:rStyle w:val="Nmerodepgina"/>
        <w:b/>
        <w:bCs/>
        <w:spacing w:val="0"/>
        <w:sz w:val="18"/>
        <w:szCs w:val="18"/>
      </w:rPr>
      <w:t>RELATIVAS</w:t>
    </w:r>
    <w:r w:rsidRPr="007E2C90">
      <w:rPr>
        <w:rStyle w:val="Nmerodepgina"/>
        <w:b/>
        <w:bCs/>
        <w:spacing w:val="0"/>
        <w:sz w:val="18"/>
        <w:szCs w:val="18"/>
      </w:rPr>
      <w:t xml:space="preserve"> A </w:t>
    </w:r>
    <w:smartTag w:uri="urn:schemas-microsoft-com:office:smarttags" w:element="PersonName">
      <w:smartTagPr>
        <w:attr w:name="ProductID" w:val="LA ADMINISTRACIￓN DE"/>
      </w:smartTagPr>
      <w:r w:rsidRPr="007E2C90">
        <w:rPr>
          <w:rStyle w:val="Nmerodepgina"/>
          <w:b/>
          <w:bCs/>
          <w:spacing w:val="0"/>
          <w:sz w:val="18"/>
          <w:szCs w:val="18"/>
        </w:rPr>
        <w:t xml:space="preserve">LA </w:t>
      </w:r>
      <w:r>
        <w:rPr>
          <w:rStyle w:val="Nmerodepgina"/>
          <w:b/>
          <w:bCs/>
          <w:spacing w:val="0"/>
          <w:sz w:val="18"/>
          <w:szCs w:val="18"/>
        </w:rPr>
        <w:t xml:space="preserve">ADMINISTRACIÓN </w:t>
      </w:r>
      <w:r w:rsidRPr="007E2C90">
        <w:rPr>
          <w:rStyle w:val="Nmerodepgina"/>
          <w:b/>
          <w:bCs/>
          <w:spacing w:val="0"/>
          <w:sz w:val="18"/>
          <w:szCs w:val="18"/>
        </w:rPr>
        <w:t>DE</w:t>
      </w:r>
    </w:smartTag>
    <w:r w:rsidRPr="007E2C90">
      <w:rPr>
        <w:rStyle w:val="Nmerodepgina"/>
        <w:b/>
        <w:bCs/>
        <w:spacing w:val="0"/>
        <w:sz w:val="18"/>
        <w:szCs w:val="18"/>
      </w:rPr>
      <w:t xml:space="preserve"> LOS RIESGOS DE MERCADO</w:t>
    </w:r>
    <w:r>
      <w:rPr>
        <w:rStyle w:val="Nmerodepgina"/>
        <w:b/>
        <w:bCs/>
        <w:spacing w:val="0"/>
        <w:sz w:val="18"/>
        <w:szCs w:val="18"/>
      </w:rPr>
      <w:t xml:space="preserve"> </w:t>
    </w:r>
  </w:p>
  <w:p w14:paraId="17414610" w14:textId="7767E193" w:rsidR="003D4694" w:rsidRDefault="003D4694" w:rsidP="009422E4">
    <w:pPr>
      <w:pStyle w:val="Piedepgina"/>
      <w:rPr>
        <w:rStyle w:val="Nmerodepgina"/>
        <w:b/>
        <w:bCs/>
        <w:spacing w:val="0"/>
        <w:sz w:val="18"/>
        <w:szCs w:val="18"/>
      </w:rPr>
    </w:pPr>
    <w:r w:rsidRPr="007E2C90">
      <w:rPr>
        <w:rStyle w:val="Nmerodepgina"/>
        <w:b/>
        <w:bCs/>
        <w:spacing w:val="0"/>
        <w:sz w:val="18"/>
        <w:szCs w:val="18"/>
      </w:rPr>
      <w:t xml:space="preserve">Página </w:t>
    </w:r>
    <w:r w:rsidR="00F277DE">
      <w:rPr>
        <w:rStyle w:val="Nmerodepgina"/>
        <w:b/>
        <w:bCs/>
        <w:spacing w:val="0"/>
        <w:sz w:val="18"/>
        <w:szCs w:val="18"/>
      </w:rPr>
      <w:t>3</w:t>
    </w:r>
  </w:p>
  <w:p w14:paraId="6745AC53" w14:textId="77777777" w:rsidR="009422E4" w:rsidRPr="009422E4" w:rsidRDefault="009422E4" w:rsidP="009422E4">
    <w:pPr>
      <w:pStyle w:val="Piedepgina"/>
      <w:rPr>
        <w:rFonts w:cs="Times New Roman"/>
        <w:b/>
        <w:bCs/>
        <w:spacing w:val="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95FF3" w14:textId="77777777" w:rsidR="003D4694" w:rsidRPr="00CA6425" w:rsidRDefault="003D4694" w:rsidP="003D4694">
    <w:pPr>
      <w:pStyle w:val="Encabezado"/>
      <w:jc w:val="center"/>
      <w:rPr>
        <w:b/>
        <w:sz w:val="24"/>
        <w:szCs w:val="24"/>
      </w:rPr>
    </w:pPr>
    <w:r>
      <w:rPr>
        <w:b/>
        <w:sz w:val="24"/>
        <w:szCs w:val="24"/>
      </w:rPr>
      <w:t>SUPERINTENDENCIA FINANCIERA DE COLOMBIA</w:t>
    </w:r>
  </w:p>
  <w:p w14:paraId="58717D39" w14:textId="77777777" w:rsidR="003D4694" w:rsidRDefault="003D4694" w:rsidP="003D4694">
    <w:pPr>
      <w:pStyle w:val="Encabezado"/>
      <w:jc w:val="both"/>
      <w:rPr>
        <w:sz w:val="20"/>
        <w:szCs w:val="20"/>
        <w:lang w:val="es-MX"/>
      </w:rPr>
    </w:pPr>
  </w:p>
  <w:p w14:paraId="648A4749" w14:textId="77777777" w:rsidR="003D4694" w:rsidRPr="007E2C90" w:rsidRDefault="003D4694" w:rsidP="003D4694">
    <w:pPr>
      <w:pStyle w:val="Piedepgina"/>
      <w:ind w:left="855" w:hanging="855"/>
      <w:rPr>
        <w:rStyle w:val="Nmerodepgina"/>
        <w:b/>
        <w:bCs/>
        <w:spacing w:val="0"/>
        <w:sz w:val="18"/>
        <w:szCs w:val="18"/>
      </w:rPr>
    </w:pPr>
    <w:r>
      <w:rPr>
        <w:b/>
        <w:bCs/>
        <w:spacing w:val="0"/>
        <w:sz w:val="18"/>
        <w:szCs w:val="18"/>
        <w:lang w:val="es-MX"/>
      </w:rPr>
      <w:t>ANEXO 2:</w:t>
    </w:r>
    <w:r>
      <w:rPr>
        <w:b/>
        <w:bCs/>
        <w:spacing w:val="0"/>
        <w:sz w:val="18"/>
        <w:szCs w:val="18"/>
        <w:lang w:val="es-MX"/>
      </w:rPr>
      <w:tab/>
    </w:r>
    <w:r w:rsidRPr="00201D0E">
      <w:rPr>
        <w:b/>
        <w:bCs/>
        <w:spacing w:val="0"/>
        <w:sz w:val="18"/>
        <w:szCs w:val="18"/>
      </w:rPr>
      <w:t>CAPITULO</w:t>
    </w:r>
    <w:r>
      <w:rPr>
        <w:b/>
        <w:bCs/>
        <w:spacing w:val="0"/>
        <w:sz w:val="18"/>
        <w:szCs w:val="18"/>
      </w:rPr>
      <w:t xml:space="preserve"> XXI</w:t>
    </w:r>
    <w:r>
      <w:rPr>
        <w:rStyle w:val="Nmerodepgina"/>
        <w:b/>
        <w:bCs/>
        <w:spacing w:val="0"/>
        <w:sz w:val="18"/>
        <w:szCs w:val="18"/>
      </w:rPr>
      <w:t xml:space="preserve"> </w:t>
    </w:r>
    <w:r w:rsidRPr="007E2C90">
      <w:rPr>
        <w:rStyle w:val="Nmerodepgina"/>
        <w:b/>
        <w:bCs/>
        <w:spacing w:val="0"/>
        <w:sz w:val="18"/>
        <w:szCs w:val="18"/>
      </w:rPr>
      <w:t xml:space="preserve">REGLAS </w:t>
    </w:r>
    <w:r>
      <w:rPr>
        <w:rStyle w:val="Nmerodepgina"/>
        <w:b/>
        <w:bCs/>
        <w:spacing w:val="0"/>
        <w:sz w:val="18"/>
        <w:szCs w:val="18"/>
      </w:rPr>
      <w:t>RELATIVAS</w:t>
    </w:r>
    <w:r w:rsidRPr="007E2C90">
      <w:rPr>
        <w:rStyle w:val="Nmerodepgina"/>
        <w:b/>
        <w:bCs/>
        <w:spacing w:val="0"/>
        <w:sz w:val="18"/>
        <w:szCs w:val="18"/>
      </w:rPr>
      <w:t xml:space="preserve"> A </w:t>
    </w:r>
    <w:smartTag w:uri="urn:schemas-microsoft-com:office:smarttags" w:element="PersonName">
      <w:smartTagPr>
        <w:attr w:name="ProductID" w:val="LA ADMINISTRACIￓN DE"/>
      </w:smartTagPr>
      <w:r w:rsidRPr="007E2C90">
        <w:rPr>
          <w:rStyle w:val="Nmerodepgina"/>
          <w:b/>
          <w:bCs/>
          <w:spacing w:val="0"/>
          <w:sz w:val="18"/>
          <w:szCs w:val="18"/>
        </w:rPr>
        <w:t xml:space="preserve">LA </w:t>
      </w:r>
      <w:r>
        <w:rPr>
          <w:rStyle w:val="Nmerodepgina"/>
          <w:b/>
          <w:bCs/>
          <w:spacing w:val="0"/>
          <w:sz w:val="18"/>
          <w:szCs w:val="18"/>
        </w:rPr>
        <w:t xml:space="preserve">ADMINISTRACIÓN </w:t>
      </w:r>
      <w:r w:rsidRPr="007E2C90">
        <w:rPr>
          <w:rStyle w:val="Nmerodepgina"/>
          <w:b/>
          <w:bCs/>
          <w:spacing w:val="0"/>
          <w:sz w:val="18"/>
          <w:szCs w:val="18"/>
        </w:rPr>
        <w:t>DE</w:t>
      </w:r>
    </w:smartTag>
    <w:r w:rsidRPr="007E2C90">
      <w:rPr>
        <w:rStyle w:val="Nmerodepgina"/>
        <w:b/>
        <w:bCs/>
        <w:spacing w:val="0"/>
        <w:sz w:val="18"/>
        <w:szCs w:val="18"/>
      </w:rPr>
      <w:t xml:space="preserve"> LOS RIESGOS DE MERCADO</w:t>
    </w:r>
    <w:r>
      <w:rPr>
        <w:rStyle w:val="Nmerodepgina"/>
        <w:b/>
        <w:bCs/>
        <w:spacing w:val="0"/>
        <w:sz w:val="18"/>
        <w:szCs w:val="18"/>
      </w:rPr>
      <w:t xml:space="preserve"> </w:t>
    </w:r>
  </w:p>
  <w:p w14:paraId="717BB031" w14:textId="7CD07A8C" w:rsidR="003D4694" w:rsidRPr="007E2C90" w:rsidRDefault="003D4694" w:rsidP="003D4694">
    <w:pPr>
      <w:pStyle w:val="Piedepgina"/>
      <w:rPr>
        <w:rStyle w:val="Nmerodepgina"/>
        <w:b/>
        <w:bCs/>
        <w:spacing w:val="0"/>
        <w:sz w:val="18"/>
        <w:szCs w:val="18"/>
      </w:rPr>
    </w:pPr>
    <w:r w:rsidRPr="007E2C90">
      <w:rPr>
        <w:rStyle w:val="Nmerodepgina"/>
        <w:b/>
        <w:bCs/>
        <w:spacing w:val="0"/>
        <w:sz w:val="18"/>
        <w:szCs w:val="18"/>
      </w:rPr>
      <w:t xml:space="preserve">Página </w:t>
    </w:r>
    <w:r w:rsidR="0073701D">
      <w:rPr>
        <w:rStyle w:val="Nmerodepgina"/>
        <w:b/>
        <w:bCs/>
        <w:spacing w:val="0"/>
        <w:sz w:val="18"/>
        <w:szCs w:val="18"/>
      </w:rPr>
      <w:t>4</w:t>
    </w:r>
  </w:p>
  <w:p w14:paraId="5338A720" w14:textId="77777777" w:rsidR="003D4694" w:rsidRPr="003D4694" w:rsidRDefault="003D4694" w:rsidP="003D4694">
    <w:pPr>
      <w:pStyle w:val="Encabezado"/>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D712" w14:textId="77777777" w:rsidR="00212F8B" w:rsidRPr="00CA6425" w:rsidRDefault="00212F8B" w:rsidP="00212F8B">
    <w:pPr>
      <w:pStyle w:val="Encabezado"/>
      <w:jc w:val="center"/>
      <w:rPr>
        <w:b/>
        <w:sz w:val="24"/>
        <w:szCs w:val="24"/>
      </w:rPr>
    </w:pPr>
    <w:r>
      <w:rPr>
        <w:b/>
        <w:sz w:val="24"/>
        <w:szCs w:val="24"/>
      </w:rPr>
      <w:t>SUPERINTENDENCIA FINANCIERA DE COLOMBIA</w:t>
    </w:r>
  </w:p>
  <w:p w14:paraId="44BA3426" w14:textId="77777777" w:rsidR="00212F8B" w:rsidRDefault="00212F8B" w:rsidP="00212F8B">
    <w:pPr>
      <w:pStyle w:val="Encabezado"/>
      <w:jc w:val="both"/>
      <w:rPr>
        <w:sz w:val="20"/>
        <w:szCs w:val="20"/>
        <w:lang w:val="es-MX"/>
      </w:rPr>
    </w:pPr>
  </w:p>
  <w:p w14:paraId="28D72A6E" w14:textId="77777777" w:rsidR="00212F8B" w:rsidRPr="007E2C90" w:rsidRDefault="00212F8B" w:rsidP="00212F8B">
    <w:pPr>
      <w:pStyle w:val="Piedepgina"/>
      <w:ind w:left="855" w:hanging="855"/>
      <w:rPr>
        <w:rStyle w:val="Nmerodepgina"/>
        <w:b/>
        <w:bCs/>
        <w:spacing w:val="0"/>
        <w:sz w:val="18"/>
        <w:szCs w:val="18"/>
      </w:rPr>
    </w:pPr>
    <w:r>
      <w:rPr>
        <w:b/>
        <w:bCs/>
        <w:spacing w:val="0"/>
        <w:sz w:val="18"/>
        <w:szCs w:val="18"/>
        <w:lang w:val="es-MX"/>
      </w:rPr>
      <w:t>ANEXO 2:</w:t>
    </w:r>
    <w:r>
      <w:rPr>
        <w:b/>
        <w:bCs/>
        <w:spacing w:val="0"/>
        <w:sz w:val="18"/>
        <w:szCs w:val="18"/>
        <w:lang w:val="es-MX"/>
      </w:rPr>
      <w:tab/>
    </w:r>
    <w:r w:rsidRPr="00201D0E">
      <w:rPr>
        <w:b/>
        <w:bCs/>
        <w:spacing w:val="0"/>
        <w:sz w:val="18"/>
        <w:szCs w:val="18"/>
      </w:rPr>
      <w:t>CAPITULO</w:t>
    </w:r>
    <w:r>
      <w:rPr>
        <w:b/>
        <w:bCs/>
        <w:spacing w:val="0"/>
        <w:sz w:val="18"/>
        <w:szCs w:val="18"/>
      </w:rPr>
      <w:t xml:space="preserve"> XXI</w:t>
    </w:r>
    <w:r>
      <w:rPr>
        <w:rStyle w:val="Nmerodepgina"/>
        <w:b/>
        <w:bCs/>
        <w:spacing w:val="0"/>
        <w:sz w:val="18"/>
        <w:szCs w:val="18"/>
      </w:rPr>
      <w:t xml:space="preserve"> </w:t>
    </w:r>
    <w:r w:rsidRPr="007E2C90">
      <w:rPr>
        <w:rStyle w:val="Nmerodepgina"/>
        <w:b/>
        <w:bCs/>
        <w:spacing w:val="0"/>
        <w:sz w:val="18"/>
        <w:szCs w:val="18"/>
      </w:rPr>
      <w:t xml:space="preserve">REGLAS </w:t>
    </w:r>
    <w:r>
      <w:rPr>
        <w:rStyle w:val="Nmerodepgina"/>
        <w:b/>
        <w:bCs/>
        <w:spacing w:val="0"/>
        <w:sz w:val="18"/>
        <w:szCs w:val="18"/>
      </w:rPr>
      <w:t>RELATIVAS</w:t>
    </w:r>
    <w:r w:rsidRPr="007E2C90">
      <w:rPr>
        <w:rStyle w:val="Nmerodepgina"/>
        <w:b/>
        <w:bCs/>
        <w:spacing w:val="0"/>
        <w:sz w:val="18"/>
        <w:szCs w:val="18"/>
      </w:rPr>
      <w:t xml:space="preserve"> A </w:t>
    </w:r>
    <w:smartTag w:uri="urn:schemas-microsoft-com:office:smarttags" w:element="PersonName">
      <w:smartTagPr>
        <w:attr w:name="ProductID" w:val="LA ADMINISTRACIￓN DE"/>
      </w:smartTagPr>
      <w:r w:rsidRPr="007E2C90">
        <w:rPr>
          <w:rStyle w:val="Nmerodepgina"/>
          <w:b/>
          <w:bCs/>
          <w:spacing w:val="0"/>
          <w:sz w:val="18"/>
          <w:szCs w:val="18"/>
        </w:rPr>
        <w:t xml:space="preserve">LA </w:t>
      </w:r>
      <w:r>
        <w:rPr>
          <w:rStyle w:val="Nmerodepgina"/>
          <w:b/>
          <w:bCs/>
          <w:spacing w:val="0"/>
          <w:sz w:val="18"/>
          <w:szCs w:val="18"/>
        </w:rPr>
        <w:t xml:space="preserve">ADMINISTRACIÓN </w:t>
      </w:r>
      <w:r w:rsidRPr="007E2C90">
        <w:rPr>
          <w:rStyle w:val="Nmerodepgina"/>
          <w:b/>
          <w:bCs/>
          <w:spacing w:val="0"/>
          <w:sz w:val="18"/>
          <w:szCs w:val="18"/>
        </w:rPr>
        <w:t>DE</w:t>
      </w:r>
    </w:smartTag>
    <w:r w:rsidRPr="007E2C90">
      <w:rPr>
        <w:rStyle w:val="Nmerodepgina"/>
        <w:b/>
        <w:bCs/>
        <w:spacing w:val="0"/>
        <w:sz w:val="18"/>
        <w:szCs w:val="18"/>
      </w:rPr>
      <w:t xml:space="preserve"> LOS RIESGOS DE MERCADO</w:t>
    </w:r>
    <w:r>
      <w:rPr>
        <w:rStyle w:val="Nmerodepgina"/>
        <w:b/>
        <w:bCs/>
        <w:spacing w:val="0"/>
        <w:sz w:val="18"/>
        <w:szCs w:val="18"/>
      </w:rPr>
      <w:t xml:space="preserve"> </w:t>
    </w:r>
  </w:p>
  <w:p w14:paraId="2A8C1E33" w14:textId="6D7EE169" w:rsidR="00212F8B" w:rsidRPr="007E2C90" w:rsidRDefault="00212F8B" w:rsidP="00212F8B">
    <w:pPr>
      <w:pStyle w:val="Piedepgina"/>
      <w:rPr>
        <w:rStyle w:val="Nmerodepgina"/>
        <w:b/>
        <w:bCs/>
        <w:spacing w:val="0"/>
        <w:sz w:val="18"/>
        <w:szCs w:val="18"/>
      </w:rPr>
    </w:pPr>
    <w:r w:rsidRPr="007E2C90">
      <w:rPr>
        <w:rStyle w:val="Nmerodepgina"/>
        <w:b/>
        <w:bCs/>
        <w:spacing w:val="0"/>
        <w:sz w:val="18"/>
        <w:szCs w:val="18"/>
      </w:rPr>
      <w:t xml:space="preserve">Página </w:t>
    </w:r>
    <w:r w:rsidR="00F37DFD">
      <w:rPr>
        <w:rStyle w:val="Nmerodepgina"/>
        <w:b/>
        <w:bCs/>
        <w:spacing w:val="0"/>
        <w:sz w:val="18"/>
        <w:szCs w:val="18"/>
      </w:rPr>
      <w:t>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D9E3" w14:textId="77777777" w:rsidR="005A5E9E" w:rsidRPr="00CA6425" w:rsidRDefault="005A5E9E" w:rsidP="00717209">
    <w:pPr>
      <w:pStyle w:val="Encabezado"/>
      <w:jc w:val="center"/>
      <w:rPr>
        <w:b/>
        <w:sz w:val="24"/>
        <w:szCs w:val="24"/>
      </w:rPr>
    </w:pPr>
    <w:r>
      <w:rPr>
        <w:b/>
        <w:sz w:val="24"/>
        <w:szCs w:val="24"/>
      </w:rPr>
      <w:t>SUPERINTENDENCIA FINANCIERA DE COLOMBIA</w:t>
    </w:r>
  </w:p>
  <w:p w14:paraId="114B4F84" w14:textId="77777777" w:rsidR="005A5E9E" w:rsidRDefault="005A5E9E" w:rsidP="00717209">
    <w:pPr>
      <w:pStyle w:val="Piedepgina"/>
      <w:ind w:left="855" w:hanging="855"/>
      <w:rPr>
        <w:b/>
        <w:bCs/>
        <w:spacing w:val="0"/>
        <w:sz w:val="18"/>
        <w:szCs w:val="18"/>
        <w:lang w:val="es-MX"/>
      </w:rPr>
    </w:pPr>
  </w:p>
  <w:p w14:paraId="4E7726C2" w14:textId="77777777" w:rsidR="005A5E9E" w:rsidRPr="007E2C90" w:rsidRDefault="005A5E9E" w:rsidP="00717209">
    <w:pPr>
      <w:pStyle w:val="Piedepgina"/>
      <w:ind w:left="855" w:hanging="855"/>
      <w:rPr>
        <w:rStyle w:val="Nmerodepgina"/>
        <w:b/>
        <w:bCs/>
        <w:spacing w:val="0"/>
        <w:sz w:val="18"/>
        <w:szCs w:val="18"/>
      </w:rPr>
    </w:pPr>
    <w:r>
      <w:rPr>
        <w:b/>
        <w:bCs/>
        <w:spacing w:val="0"/>
        <w:sz w:val="18"/>
        <w:szCs w:val="18"/>
        <w:lang w:val="es-MX"/>
      </w:rPr>
      <w:t>ANEXO 2:</w:t>
    </w:r>
    <w:r>
      <w:rPr>
        <w:b/>
        <w:bCs/>
        <w:spacing w:val="0"/>
        <w:sz w:val="18"/>
        <w:szCs w:val="18"/>
        <w:lang w:val="es-MX"/>
      </w:rPr>
      <w:tab/>
    </w:r>
    <w:r w:rsidRPr="00201D0E">
      <w:rPr>
        <w:b/>
        <w:bCs/>
        <w:spacing w:val="0"/>
        <w:sz w:val="18"/>
        <w:szCs w:val="18"/>
      </w:rPr>
      <w:t>CAPITULO</w:t>
    </w:r>
    <w:r>
      <w:rPr>
        <w:b/>
        <w:bCs/>
        <w:spacing w:val="0"/>
        <w:sz w:val="18"/>
        <w:szCs w:val="18"/>
      </w:rPr>
      <w:t xml:space="preserve"> XXI</w:t>
    </w:r>
    <w:r>
      <w:rPr>
        <w:rStyle w:val="Nmerodepgina"/>
        <w:b/>
        <w:bCs/>
        <w:spacing w:val="0"/>
        <w:sz w:val="18"/>
        <w:szCs w:val="18"/>
      </w:rPr>
      <w:t xml:space="preserve"> </w:t>
    </w:r>
    <w:r w:rsidRPr="007E2C90">
      <w:rPr>
        <w:rStyle w:val="Nmerodepgina"/>
        <w:b/>
        <w:bCs/>
        <w:spacing w:val="0"/>
        <w:sz w:val="18"/>
        <w:szCs w:val="18"/>
      </w:rPr>
      <w:t xml:space="preserve">REGLAS </w:t>
    </w:r>
    <w:r>
      <w:rPr>
        <w:rStyle w:val="Nmerodepgina"/>
        <w:b/>
        <w:bCs/>
        <w:spacing w:val="0"/>
        <w:sz w:val="18"/>
        <w:szCs w:val="18"/>
      </w:rPr>
      <w:t>RELATIVAS</w:t>
    </w:r>
    <w:r w:rsidRPr="007E2C90">
      <w:rPr>
        <w:rStyle w:val="Nmerodepgina"/>
        <w:b/>
        <w:bCs/>
        <w:spacing w:val="0"/>
        <w:sz w:val="18"/>
        <w:szCs w:val="18"/>
      </w:rPr>
      <w:t xml:space="preserve"> A </w:t>
    </w:r>
    <w:smartTag w:uri="urn:schemas-microsoft-com:office:smarttags" w:element="PersonName">
      <w:smartTagPr>
        <w:attr w:name="ProductID" w:val="LA ADMINISTRACIￓN DE"/>
      </w:smartTagPr>
      <w:r w:rsidRPr="007E2C90">
        <w:rPr>
          <w:rStyle w:val="Nmerodepgina"/>
          <w:b/>
          <w:bCs/>
          <w:spacing w:val="0"/>
          <w:sz w:val="18"/>
          <w:szCs w:val="18"/>
        </w:rPr>
        <w:t xml:space="preserve">LA </w:t>
      </w:r>
      <w:r>
        <w:rPr>
          <w:rStyle w:val="Nmerodepgina"/>
          <w:b/>
          <w:bCs/>
          <w:spacing w:val="0"/>
          <w:sz w:val="18"/>
          <w:szCs w:val="18"/>
        </w:rPr>
        <w:t xml:space="preserve">ADMINISTRACIÓN </w:t>
      </w:r>
      <w:r w:rsidRPr="007E2C90">
        <w:rPr>
          <w:rStyle w:val="Nmerodepgina"/>
          <w:b/>
          <w:bCs/>
          <w:spacing w:val="0"/>
          <w:sz w:val="18"/>
          <w:szCs w:val="18"/>
        </w:rPr>
        <w:t>DE</w:t>
      </w:r>
    </w:smartTag>
    <w:r w:rsidRPr="007E2C90">
      <w:rPr>
        <w:rStyle w:val="Nmerodepgina"/>
        <w:b/>
        <w:bCs/>
        <w:spacing w:val="0"/>
        <w:sz w:val="18"/>
        <w:szCs w:val="18"/>
      </w:rPr>
      <w:t xml:space="preserve"> LOS RIESGOS DE MERCADO</w:t>
    </w:r>
    <w:r>
      <w:rPr>
        <w:rStyle w:val="Nmerodepgina"/>
        <w:b/>
        <w:bCs/>
        <w:spacing w:val="0"/>
        <w:sz w:val="18"/>
        <w:szCs w:val="18"/>
      </w:rPr>
      <w:t xml:space="preserve"> </w:t>
    </w:r>
  </w:p>
  <w:p w14:paraId="01F5A585" w14:textId="77777777" w:rsidR="005A5E9E" w:rsidRDefault="005A5E9E" w:rsidP="00717209">
    <w:pPr>
      <w:pStyle w:val="Encabezado"/>
      <w:rPr>
        <w:rStyle w:val="Nmerodepgina"/>
        <w:b/>
        <w:bCs/>
        <w:spacing w:val="0"/>
        <w:sz w:val="18"/>
        <w:szCs w:val="18"/>
      </w:rPr>
    </w:pPr>
    <w:r w:rsidRPr="007E2C90">
      <w:rPr>
        <w:rStyle w:val="Nmerodepgina"/>
        <w:b/>
        <w:bCs/>
        <w:spacing w:val="0"/>
        <w:sz w:val="18"/>
        <w:szCs w:val="18"/>
      </w:rPr>
      <w:t xml:space="preserve">Página </w:t>
    </w:r>
    <w:r w:rsidRPr="007E2C90">
      <w:rPr>
        <w:rStyle w:val="Nmerodepgina"/>
        <w:b/>
        <w:bCs/>
        <w:spacing w:val="0"/>
        <w:sz w:val="18"/>
        <w:szCs w:val="18"/>
      </w:rPr>
      <w:fldChar w:fldCharType="begin"/>
    </w:r>
    <w:r w:rsidRPr="007E2C90">
      <w:rPr>
        <w:rStyle w:val="Nmerodepgina"/>
        <w:b/>
        <w:bCs/>
        <w:spacing w:val="0"/>
        <w:sz w:val="18"/>
        <w:szCs w:val="18"/>
      </w:rPr>
      <w:instrText xml:space="preserve"> PAGE </w:instrText>
    </w:r>
    <w:r w:rsidRPr="007E2C90">
      <w:rPr>
        <w:rStyle w:val="Nmerodepgina"/>
        <w:b/>
        <w:bCs/>
        <w:spacing w:val="0"/>
        <w:sz w:val="18"/>
        <w:szCs w:val="18"/>
      </w:rPr>
      <w:fldChar w:fldCharType="separate"/>
    </w:r>
    <w:r>
      <w:rPr>
        <w:rStyle w:val="Nmerodepgina"/>
        <w:b/>
        <w:bCs/>
        <w:noProof/>
        <w:spacing w:val="0"/>
        <w:sz w:val="18"/>
        <w:szCs w:val="18"/>
      </w:rPr>
      <w:t>12</w:t>
    </w:r>
    <w:r w:rsidRPr="007E2C90">
      <w:rPr>
        <w:rStyle w:val="Nmerodepgina"/>
        <w:b/>
        <w:bCs/>
        <w:spacing w:val="0"/>
        <w:sz w:val="18"/>
        <w:szCs w:val="18"/>
      </w:rPr>
      <w:fldChar w:fldCharType="end"/>
    </w:r>
  </w:p>
  <w:p w14:paraId="1AABDC09" w14:textId="77777777" w:rsidR="005A5E9E" w:rsidRPr="00717209" w:rsidRDefault="005A5E9E" w:rsidP="00717209">
    <w:pPr>
      <w:pStyle w:val="Encabezado"/>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7BAE"/>
    <w:multiLevelType w:val="hybridMultilevel"/>
    <w:tmpl w:val="38626448"/>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477357"/>
    <w:multiLevelType w:val="hybridMultilevel"/>
    <w:tmpl w:val="656C4346"/>
    <w:lvl w:ilvl="0" w:tplc="D50CE4CA">
      <w:start w:val="1"/>
      <w:numFmt w:val="lowerRoman"/>
      <w:lvlText w:val="%1."/>
      <w:lvlJc w:val="left"/>
      <w:pPr>
        <w:tabs>
          <w:tab w:val="num" w:pos="1080"/>
        </w:tabs>
        <w:ind w:left="1080" w:hanging="720"/>
      </w:pPr>
      <w:rPr>
        <w:rFonts w:cs="Times New Roman" w:hint="default"/>
        <w:b w:val="0"/>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DE7B4D"/>
    <w:multiLevelType w:val="hybridMultilevel"/>
    <w:tmpl w:val="FDF8E0E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114D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281612"/>
    <w:multiLevelType w:val="hybridMultilevel"/>
    <w:tmpl w:val="DF2C211C"/>
    <w:lvl w:ilvl="0" w:tplc="1FA68750">
      <w:start w:val="3"/>
      <w:numFmt w:val="lowerLetter"/>
      <w:lvlText w:val="%1."/>
      <w:lvlJc w:val="left"/>
      <w:pPr>
        <w:tabs>
          <w:tab w:val="num" w:pos="1068"/>
        </w:tabs>
        <w:ind w:left="1068"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1E513973"/>
    <w:multiLevelType w:val="hybridMultilevel"/>
    <w:tmpl w:val="B18E11CE"/>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EE90116"/>
    <w:multiLevelType w:val="multilevel"/>
    <w:tmpl w:val="9528A64A"/>
    <w:lvl w:ilvl="0">
      <w:start w:val="1"/>
      <w:numFmt w:val="lowerRoman"/>
      <w:lvlText w:val="(%1)"/>
      <w:lvlJc w:val="right"/>
      <w:pPr>
        <w:tabs>
          <w:tab w:val="num" w:pos="888"/>
        </w:tabs>
        <w:ind w:left="888"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12223E"/>
    <w:multiLevelType w:val="hybridMultilevel"/>
    <w:tmpl w:val="CAAEEFA6"/>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15:restartNumberingAfterBreak="0">
    <w:nsid w:val="23A47857"/>
    <w:multiLevelType w:val="hybridMultilevel"/>
    <w:tmpl w:val="62DE350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5376DEF"/>
    <w:multiLevelType w:val="multilevel"/>
    <w:tmpl w:val="FDF8E0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3A36C1"/>
    <w:multiLevelType w:val="hybridMultilevel"/>
    <w:tmpl w:val="134456BE"/>
    <w:lvl w:ilvl="0" w:tplc="2F4E420A">
      <w:start w:val="1"/>
      <w:numFmt w:val="lowerLetter"/>
      <w:lvlText w:val="%1)"/>
      <w:lvlJc w:val="left"/>
      <w:pPr>
        <w:tabs>
          <w:tab w:val="num" w:pos="720"/>
        </w:tabs>
        <w:ind w:left="720" w:hanging="360"/>
      </w:pPr>
      <w:rPr>
        <w:rFonts w:hint="default"/>
        <w:color w:val="auto"/>
        <w:sz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287BBE"/>
    <w:multiLevelType w:val="hybridMultilevel"/>
    <w:tmpl w:val="00482F50"/>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3" w15:restartNumberingAfterBreak="0">
    <w:nsid w:val="2F4E0C3C"/>
    <w:multiLevelType w:val="hybridMultilevel"/>
    <w:tmpl w:val="0040D4E6"/>
    <w:lvl w:ilvl="0" w:tplc="594876C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DC31309"/>
    <w:multiLevelType w:val="hybridMultilevel"/>
    <w:tmpl w:val="E3DE4286"/>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29D4AA6"/>
    <w:multiLevelType w:val="multilevel"/>
    <w:tmpl w:val="DB68BA78"/>
    <w:lvl w:ilvl="0">
      <w:start w:val="1"/>
      <w:numFmt w:val="lowerRoman"/>
      <w:lvlText w:val="(%1)"/>
      <w:lvlJc w:val="right"/>
      <w:pPr>
        <w:tabs>
          <w:tab w:val="num" w:pos="888"/>
        </w:tabs>
        <w:ind w:left="888" w:hanging="18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4A3722C"/>
    <w:multiLevelType w:val="multilevel"/>
    <w:tmpl w:val="B0F65BC4"/>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6446E49"/>
    <w:multiLevelType w:val="hybridMultilevel"/>
    <w:tmpl w:val="DB68BA78"/>
    <w:lvl w:ilvl="0" w:tplc="5420CF5A">
      <w:start w:val="1"/>
      <w:numFmt w:val="lowerRoman"/>
      <w:lvlText w:val="(%1)"/>
      <w:lvlJc w:val="right"/>
      <w:pPr>
        <w:tabs>
          <w:tab w:val="num" w:pos="888"/>
        </w:tabs>
        <w:ind w:left="888" w:hanging="180"/>
      </w:pPr>
      <w:rPr>
        <w:rFonts w:hint="default"/>
      </w:rPr>
    </w:lvl>
    <w:lvl w:ilvl="1" w:tplc="3D205720">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7B3737E"/>
    <w:multiLevelType w:val="hybridMultilevel"/>
    <w:tmpl w:val="E3F0116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803360"/>
    <w:multiLevelType w:val="hybridMultilevel"/>
    <w:tmpl w:val="2D882804"/>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2AD01D7"/>
    <w:multiLevelType w:val="multilevel"/>
    <w:tmpl w:val="812046FE"/>
    <w:lvl w:ilvl="0">
      <w:start w:val="4"/>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5"/>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414591C"/>
    <w:multiLevelType w:val="hybridMultilevel"/>
    <w:tmpl w:val="806043E0"/>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2" w15:restartNumberingAfterBreak="0">
    <w:nsid w:val="55B1337D"/>
    <w:multiLevelType w:val="hybridMultilevel"/>
    <w:tmpl w:val="0F1CE89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87F437D"/>
    <w:multiLevelType w:val="hybridMultilevel"/>
    <w:tmpl w:val="40F425F0"/>
    <w:lvl w:ilvl="0" w:tplc="0C0A000F">
      <w:start w:val="1"/>
      <w:numFmt w:val="decimal"/>
      <w:lvlText w:val="%1."/>
      <w:lvlJc w:val="left"/>
      <w:pPr>
        <w:tabs>
          <w:tab w:val="num" w:pos="720"/>
        </w:tabs>
        <w:ind w:left="720" w:hanging="360"/>
      </w:pPr>
      <w:rPr>
        <w:rFonts w:hint="default"/>
      </w:rPr>
    </w:lvl>
    <w:lvl w:ilvl="1" w:tplc="EA3CC620">
      <w:start w:val="2"/>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BAF1635"/>
    <w:multiLevelType w:val="multilevel"/>
    <w:tmpl w:val="538C80E6"/>
    <w:lvl w:ilvl="0">
      <w:start w:val="1"/>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D640F49"/>
    <w:multiLevelType w:val="hybridMultilevel"/>
    <w:tmpl w:val="B1BAA5E8"/>
    <w:lvl w:ilvl="0" w:tplc="7AAECD46">
      <w:start w:val="1"/>
      <w:numFmt w:val="lowerLetter"/>
      <w:lvlText w:val="%1)"/>
      <w:lvlJc w:val="left"/>
      <w:pPr>
        <w:tabs>
          <w:tab w:val="num" w:pos="717"/>
        </w:tabs>
        <w:ind w:left="717" w:hanging="357"/>
      </w:pPr>
      <w:rPr>
        <w:rFonts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D6C5496"/>
    <w:multiLevelType w:val="hybridMultilevel"/>
    <w:tmpl w:val="73C4CB1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EAE1487"/>
    <w:multiLevelType w:val="hybridMultilevel"/>
    <w:tmpl w:val="6D749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FE50D71"/>
    <w:multiLevelType w:val="multilevel"/>
    <w:tmpl w:val="B0F65BC4"/>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61CD4F66"/>
    <w:multiLevelType w:val="hybridMultilevel"/>
    <w:tmpl w:val="9528A64A"/>
    <w:lvl w:ilvl="0" w:tplc="5420CF5A">
      <w:start w:val="1"/>
      <w:numFmt w:val="lowerRoman"/>
      <w:lvlText w:val="(%1)"/>
      <w:lvlJc w:val="right"/>
      <w:pPr>
        <w:tabs>
          <w:tab w:val="num" w:pos="888"/>
        </w:tabs>
        <w:ind w:left="888"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61F3734E"/>
    <w:multiLevelType w:val="multilevel"/>
    <w:tmpl w:val="99CCCC8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90A78B0"/>
    <w:multiLevelType w:val="hybridMultilevel"/>
    <w:tmpl w:val="A1A836E4"/>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32" w15:restartNumberingAfterBreak="0">
    <w:nsid w:val="6AA054E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BAB4BA6"/>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F0E2D69"/>
    <w:multiLevelType w:val="hybridMultilevel"/>
    <w:tmpl w:val="C53E918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0BA590A"/>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57267CB"/>
    <w:multiLevelType w:val="hybridMultilevel"/>
    <w:tmpl w:val="3E280236"/>
    <w:lvl w:ilvl="0" w:tplc="594876CE">
      <w:start w:val="1"/>
      <w:numFmt w:val="lowerLetter"/>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427212"/>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A944E97"/>
    <w:multiLevelType w:val="hybridMultilevel"/>
    <w:tmpl w:val="6D749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7BAF4D7C"/>
    <w:multiLevelType w:val="hybridMultilevel"/>
    <w:tmpl w:val="BD2E0D98"/>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238828124">
    <w:abstractNumId w:val="37"/>
  </w:num>
  <w:num w:numId="2" w16cid:durableId="1613631859">
    <w:abstractNumId w:val="33"/>
  </w:num>
  <w:num w:numId="3" w16cid:durableId="768237078">
    <w:abstractNumId w:val="35"/>
  </w:num>
  <w:num w:numId="4" w16cid:durableId="1373075284">
    <w:abstractNumId w:val="32"/>
  </w:num>
  <w:num w:numId="5" w16cid:durableId="274755474">
    <w:abstractNumId w:val="3"/>
  </w:num>
  <w:num w:numId="6" w16cid:durableId="667909316">
    <w:abstractNumId w:val="5"/>
  </w:num>
  <w:num w:numId="7" w16cid:durableId="1779250565">
    <w:abstractNumId w:val="12"/>
  </w:num>
  <w:num w:numId="8" w16cid:durableId="1331524742">
    <w:abstractNumId w:val="31"/>
  </w:num>
  <w:num w:numId="9" w16cid:durableId="1497113220">
    <w:abstractNumId w:val="6"/>
  </w:num>
  <w:num w:numId="10" w16cid:durableId="1374188851">
    <w:abstractNumId w:val="21"/>
  </w:num>
  <w:num w:numId="11" w16cid:durableId="1847818216">
    <w:abstractNumId w:val="8"/>
  </w:num>
  <w:num w:numId="12" w16cid:durableId="2065636204">
    <w:abstractNumId w:val="13"/>
  </w:num>
  <w:num w:numId="13" w16cid:durableId="7102384">
    <w:abstractNumId w:val="19"/>
  </w:num>
  <w:num w:numId="14" w16cid:durableId="999307219">
    <w:abstractNumId w:val="34"/>
  </w:num>
  <w:num w:numId="15" w16cid:durableId="43917098">
    <w:abstractNumId w:val="23"/>
  </w:num>
  <w:num w:numId="16" w16cid:durableId="2025012147">
    <w:abstractNumId w:val="26"/>
  </w:num>
  <w:num w:numId="17" w16cid:durableId="983578903">
    <w:abstractNumId w:val="38"/>
  </w:num>
  <w:num w:numId="18" w16cid:durableId="1812360976">
    <w:abstractNumId w:val="28"/>
  </w:num>
  <w:num w:numId="19" w16cid:durableId="449125641">
    <w:abstractNumId w:val="17"/>
  </w:num>
  <w:num w:numId="20" w16cid:durableId="1038313671">
    <w:abstractNumId w:val="14"/>
  </w:num>
  <w:num w:numId="21" w16cid:durableId="888958386">
    <w:abstractNumId w:val="20"/>
  </w:num>
  <w:num w:numId="22" w16cid:durableId="1170098369">
    <w:abstractNumId w:val="36"/>
  </w:num>
  <w:num w:numId="23" w16cid:durableId="616762177">
    <w:abstractNumId w:val="0"/>
  </w:num>
  <w:num w:numId="24" w16cid:durableId="1555434034">
    <w:abstractNumId w:val="15"/>
  </w:num>
  <w:num w:numId="25" w16cid:durableId="1287933042">
    <w:abstractNumId w:val="2"/>
  </w:num>
  <w:num w:numId="26" w16cid:durableId="1598296216">
    <w:abstractNumId w:val="10"/>
  </w:num>
  <w:num w:numId="27" w16cid:durableId="1394237323">
    <w:abstractNumId w:val="11"/>
  </w:num>
  <w:num w:numId="28" w16cid:durableId="2117820868">
    <w:abstractNumId w:val="39"/>
  </w:num>
  <w:num w:numId="29" w16cid:durableId="1101681982">
    <w:abstractNumId w:val="29"/>
  </w:num>
  <w:num w:numId="30" w16cid:durableId="1982421439">
    <w:abstractNumId w:val="7"/>
  </w:num>
  <w:num w:numId="31" w16cid:durableId="984285591">
    <w:abstractNumId w:val="18"/>
  </w:num>
  <w:num w:numId="32" w16cid:durableId="1476990698">
    <w:abstractNumId w:val="22"/>
  </w:num>
  <w:num w:numId="33" w16cid:durableId="1279525291">
    <w:abstractNumId w:val="9"/>
  </w:num>
  <w:num w:numId="34" w16cid:durableId="584843787">
    <w:abstractNumId w:val="1"/>
  </w:num>
  <w:num w:numId="35" w16cid:durableId="1119645286">
    <w:abstractNumId w:val="16"/>
  </w:num>
  <w:num w:numId="36" w16cid:durableId="1574924841">
    <w:abstractNumId w:val="30"/>
  </w:num>
  <w:num w:numId="37" w16cid:durableId="39331756">
    <w:abstractNumId w:val="24"/>
  </w:num>
  <w:num w:numId="38" w16cid:durableId="652878759">
    <w:abstractNumId w:val="25"/>
  </w:num>
  <w:num w:numId="39" w16cid:durableId="1751808575">
    <w:abstractNumId w:val="27"/>
  </w:num>
  <w:num w:numId="40" w16cid:durableId="10084050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C2B"/>
    <w:rsid w:val="0001093C"/>
    <w:rsid w:val="0001448C"/>
    <w:rsid w:val="000227EF"/>
    <w:rsid w:val="00026050"/>
    <w:rsid w:val="000346AD"/>
    <w:rsid w:val="00040ABC"/>
    <w:rsid w:val="00042829"/>
    <w:rsid w:val="000463EE"/>
    <w:rsid w:val="0005479E"/>
    <w:rsid w:val="000567BF"/>
    <w:rsid w:val="00060809"/>
    <w:rsid w:val="00061F57"/>
    <w:rsid w:val="000A7AB6"/>
    <w:rsid w:val="000D1E40"/>
    <w:rsid w:val="001017F4"/>
    <w:rsid w:val="00117712"/>
    <w:rsid w:val="0012352F"/>
    <w:rsid w:val="00136BF3"/>
    <w:rsid w:val="0016221B"/>
    <w:rsid w:val="001734BE"/>
    <w:rsid w:val="001774FA"/>
    <w:rsid w:val="00182728"/>
    <w:rsid w:val="00184092"/>
    <w:rsid w:val="001C113F"/>
    <w:rsid w:val="001C48CF"/>
    <w:rsid w:val="001D4B71"/>
    <w:rsid w:val="00212F8B"/>
    <w:rsid w:val="002328D5"/>
    <w:rsid w:val="00234952"/>
    <w:rsid w:val="00237263"/>
    <w:rsid w:val="00237539"/>
    <w:rsid w:val="00240A61"/>
    <w:rsid w:val="00247354"/>
    <w:rsid w:val="002547E3"/>
    <w:rsid w:val="002616BE"/>
    <w:rsid w:val="00270513"/>
    <w:rsid w:val="0029249C"/>
    <w:rsid w:val="002A4A09"/>
    <w:rsid w:val="00316754"/>
    <w:rsid w:val="00370FEA"/>
    <w:rsid w:val="00373FA3"/>
    <w:rsid w:val="00375445"/>
    <w:rsid w:val="003849D5"/>
    <w:rsid w:val="003C027D"/>
    <w:rsid w:val="003D0341"/>
    <w:rsid w:val="003D4694"/>
    <w:rsid w:val="003F1F7C"/>
    <w:rsid w:val="00413940"/>
    <w:rsid w:val="00462030"/>
    <w:rsid w:val="00473A3C"/>
    <w:rsid w:val="00483842"/>
    <w:rsid w:val="00484BA0"/>
    <w:rsid w:val="0048615E"/>
    <w:rsid w:val="004A3FD7"/>
    <w:rsid w:val="004E288A"/>
    <w:rsid w:val="004F2753"/>
    <w:rsid w:val="004F5C16"/>
    <w:rsid w:val="004F7E1B"/>
    <w:rsid w:val="00513E33"/>
    <w:rsid w:val="005550E2"/>
    <w:rsid w:val="005627FB"/>
    <w:rsid w:val="005770E4"/>
    <w:rsid w:val="005863B6"/>
    <w:rsid w:val="005870A6"/>
    <w:rsid w:val="00595EE3"/>
    <w:rsid w:val="0059797A"/>
    <w:rsid w:val="005A5E9E"/>
    <w:rsid w:val="005A74E0"/>
    <w:rsid w:val="005D06BB"/>
    <w:rsid w:val="005D7710"/>
    <w:rsid w:val="005E0E54"/>
    <w:rsid w:val="005E399D"/>
    <w:rsid w:val="005F27B3"/>
    <w:rsid w:val="00601782"/>
    <w:rsid w:val="006107F9"/>
    <w:rsid w:val="006168AB"/>
    <w:rsid w:val="00622ED2"/>
    <w:rsid w:val="006250FA"/>
    <w:rsid w:val="006417B8"/>
    <w:rsid w:val="00641837"/>
    <w:rsid w:val="00645922"/>
    <w:rsid w:val="00655CA6"/>
    <w:rsid w:val="0066277C"/>
    <w:rsid w:val="0068070D"/>
    <w:rsid w:val="00686C5D"/>
    <w:rsid w:val="0069238C"/>
    <w:rsid w:val="00693B5C"/>
    <w:rsid w:val="00695408"/>
    <w:rsid w:val="006A0289"/>
    <w:rsid w:val="006A5D4C"/>
    <w:rsid w:val="006B7860"/>
    <w:rsid w:val="006D3998"/>
    <w:rsid w:val="006D5794"/>
    <w:rsid w:val="006E5201"/>
    <w:rsid w:val="006E7E4C"/>
    <w:rsid w:val="006F0722"/>
    <w:rsid w:val="00717209"/>
    <w:rsid w:val="007219BB"/>
    <w:rsid w:val="0073701D"/>
    <w:rsid w:val="0076707D"/>
    <w:rsid w:val="00775646"/>
    <w:rsid w:val="00775DE3"/>
    <w:rsid w:val="007873FA"/>
    <w:rsid w:val="00790BAE"/>
    <w:rsid w:val="007945FE"/>
    <w:rsid w:val="007D3892"/>
    <w:rsid w:val="00821C58"/>
    <w:rsid w:val="00830F8C"/>
    <w:rsid w:val="008547AA"/>
    <w:rsid w:val="00855058"/>
    <w:rsid w:val="008567F3"/>
    <w:rsid w:val="0087240C"/>
    <w:rsid w:val="00875B0C"/>
    <w:rsid w:val="00881CC8"/>
    <w:rsid w:val="00883B55"/>
    <w:rsid w:val="008975DA"/>
    <w:rsid w:val="008A083C"/>
    <w:rsid w:val="008A0E87"/>
    <w:rsid w:val="008A3BE1"/>
    <w:rsid w:val="008A709D"/>
    <w:rsid w:val="008B0B18"/>
    <w:rsid w:val="008F33C7"/>
    <w:rsid w:val="00903B62"/>
    <w:rsid w:val="009313DE"/>
    <w:rsid w:val="009422E4"/>
    <w:rsid w:val="0096632A"/>
    <w:rsid w:val="009904F2"/>
    <w:rsid w:val="009908AB"/>
    <w:rsid w:val="009B6C07"/>
    <w:rsid w:val="009B6FC2"/>
    <w:rsid w:val="009C3B0B"/>
    <w:rsid w:val="009F2570"/>
    <w:rsid w:val="009F6A7B"/>
    <w:rsid w:val="00A02413"/>
    <w:rsid w:val="00A05E70"/>
    <w:rsid w:val="00A178D5"/>
    <w:rsid w:val="00A34A2F"/>
    <w:rsid w:val="00A6691B"/>
    <w:rsid w:val="00A66E17"/>
    <w:rsid w:val="00A72293"/>
    <w:rsid w:val="00A80BED"/>
    <w:rsid w:val="00A857B0"/>
    <w:rsid w:val="00AB180D"/>
    <w:rsid w:val="00AB7026"/>
    <w:rsid w:val="00AE638A"/>
    <w:rsid w:val="00AF221F"/>
    <w:rsid w:val="00AF4DAC"/>
    <w:rsid w:val="00B03E28"/>
    <w:rsid w:val="00B271D2"/>
    <w:rsid w:val="00B27876"/>
    <w:rsid w:val="00B33463"/>
    <w:rsid w:val="00B403EC"/>
    <w:rsid w:val="00B62E82"/>
    <w:rsid w:val="00BA11C9"/>
    <w:rsid w:val="00BA14F8"/>
    <w:rsid w:val="00BB0319"/>
    <w:rsid w:val="00BB0ACF"/>
    <w:rsid w:val="00BB413F"/>
    <w:rsid w:val="00BB4352"/>
    <w:rsid w:val="00BD2F15"/>
    <w:rsid w:val="00BD578C"/>
    <w:rsid w:val="00C302EA"/>
    <w:rsid w:val="00C37057"/>
    <w:rsid w:val="00C47AF9"/>
    <w:rsid w:val="00C705D1"/>
    <w:rsid w:val="00C82C1B"/>
    <w:rsid w:val="00CE68F1"/>
    <w:rsid w:val="00D00034"/>
    <w:rsid w:val="00D0373D"/>
    <w:rsid w:val="00D148BB"/>
    <w:rsid w:val="00D166FC"/>
    <w:rsid w:val="00D176EF"/>
    <w:rsid w:val="00D331F5"/>
    <w:rsid w:val="00D52511"/>
    <w:rsid w:val="00D64B38"/>
    <w:rsid w:val="00D66602"/>
    <w:rsid w:val="00D742AA"/>
    <w:rsid w:val="00D94A96"/>
    <w:rsid w:val="00DA6443"/>
    <w:rsid w:val="00DB4463"/>
    <w:rsid w:val="00DB6104"/>
    <w:rsid w:val="00DD4E6C"/>
    <w:rsid w:val="00DE5410"/>
    <w:rsid w:val="00DF7FBB"/>
    <w:rsid w:val="00E06C1E"/>
    <w:rsid w:val="00E16049"/>
    <w:rsid w:val="00E22F47"/>
    <w:rsid w:val="00E30FED"/>
    <w:rsid w:val="00E432F7"/>
    <w:rsid w:val="00E50AA8"/>
    <w:rsid w:val="00E517D6"/>
    <w:rsid w:val="00E61C43"/>
    <w:rsid w:val="00E7162C"/>
    <w:rsid w:val="00E8272A"/>
    <w:rsid w:val="00E9523B"/>
    <w:rsid w:val="00E95F2E"/>
    <w:rsid w:val="00ED6083"/>
    <w:rsid w:val="00EE131A"/>
    <w:rsid w:val="00EF5091"/>
    <w:rsid w:val="00F01E88"/>
    <w:rsid w:val="00F277DE"/>
    <w:rsid w:val="00F37DFD"/>
    <w:rsid w:val="00F44396"/>
    <w:rsid w:val="00F50901"/>
    <w:rsid w:val="00F515F2"/>
    <w:rsid w:val="00F5217B"/>
    <w:rsid w:val="00F55C5D"/>
    <w:rsid w:val="00F67F70"/>
    <w:rsid w:val="00F82D7D"/>
    <w:rsid w:val="00F8757C"/>
    <w:rsid w:val="00F90316"/>
    <w:rsid w:val="00F94151"/>
    <w:rsid w:val="00F9593E"/>
    <w:rsid w:val="00F97C2B"/>
    <w:rsid w:val="00FA4BE4"/>
    <w:rsid w:val="00FB3073"/>
    <w:rsid w:val="00FB4223"/>
    <w:rsid w:val="00FB7909"/>
    <w:rsid w:val="00FC5454"/>
    <w:rsid w:val="00FD0C64"/>
    <w:rsid w:val="00FD145B"/>
    <w:rsid w:val="00FD3AE8"/>
    <w:rsid w:val="6B6660F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20223E67"/>
  <w15:chartTrackingRefBased/>
  <w15:docId w15:val="{F4F2A141-5976-43E7-A89C-5010F08BB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C2B"/>
    <w:rPr>
      <w:rFonts w:ascii="Arial" w:hAnsi="Arial" w:cs="Arial"/>
      <w:spacing w:val="20"/>
      <w:sz w:val="28"/>
      <w:szCs w:val="28"/>
      <w:lang w:eastAsia="es-ES"/>
    </w:rPr>
  </w:style>
  <w:style w:type="paragraph" w:styleId="Ttulo1">
    <w:name w:val="heading 1"/>
    <w:basedOn w:val="Normal"/>
    <w:next w:val="Normal"/>
    <w:qFormat/>
    <w:rsid w:val="00F97C2B"/>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F97C2B"/>
    <w:pPr>
      <w:jc w:val="both"/>
    </w:pPr>
    <w:rPr>
      <w:sz w:val="24"/>
      <w:szCs w:val="24"/>
      <w:lang w:val="es-MX"/>
    </w:rPr>
  </w:style>
  <w:style w:type="paragraph" w:styleId="Ttulo">
    <w:name w:val="Title"/>
    <w:basedOn w:val="Normal"/>
    <w:qFormat/>
    <w:rsid w:val="00F97C2B"/>
    <w:pPr>
      <w:jc w:val="center"/>
      <w:outlineLvl w:val="0"/>
    </w:pPr>
    <w:rPr>
      <w:rFonts w:cs="Times New Roman"/>
      <w:b/>
      <w:bCs/>
      <w:spacing w:val="0"/>
      <w:sz w:val="22"/>
      <w:szCs w:val="22"/>
      <w:lang w:val="es-MX"/>
    </w:rPr>
  </w:style>
  <w:style w:type="paragraph" w:styleId="Textoindependiente3">
    <w:name w:val="Body Text 3"/>
    <w:basedOn w:val="Normal"/>
    <w:rsid w:val="00F97C2B"/>
    <w:pPr>
      <w:jc w:val="both"/>
    </w:pPr>
    <w:rPr>
      <w:rFonts w:cs="Times New Roman"/>
      <w:sz w:val="20"/>
      <w:szCs w:val="20"/>
      <w:lang w:val="es-MX"/>
    </w:rPr>
  </w:style>
  <w:style w:type="paragraph" w:customStyle="1" w:styleId="Normal9pt">
    <w:name w:val="Normal + 9 pt"/>
    <w:aliases w:val="Sin Expandido / Comprimido"/>
    <w:basedOn w:val="Textoindependiente"/>
    <w:rsid w:val="00F97C2B"/>
    <w:pPr>
      <w:numPr>
        <w:numId w:val="6"/>
      </w:numPr>
    </w:pPr>
    <w:rPr>
      <w:spacing w:val="0"/>
      <w:sz w:val="18"/>
      <w:szCs w:val="18"/>
    </w:rPr>
  </w:style>
  <w:style w:type="paragraph" w:styleId="Textonotapie">
    <w:name w:val="footnote text"/>
    <w:basedOn w:val="Normal"/>
    <w:semiHidden/>
    <w:rsid w:val="00060809"/>
    <w:rPr>
      <w:rFonts w:ascii="Times New Roman" w:hAnsi="Times New Roman" w:cs="Times New Roman"/>
      <w:spacing w:val="0"/>
      <w:sz w:val="20"/>
      <w:szCs w:val="20"/>
    </w:rPr>
  </w:style>
  <w:style w:type="character" w:styleId="Refdenotaalpie">
    <w:name w:val="footnote reference"/>
    <w:semiHidden/>
    <w:rsid w:val="00060809"/>
    <w:rPr>
      <w:vertAlign w:val="superscript"/>
    </w:rPr>
  </w:style>
  <w:style w:type="paragraph" w:styleId="Textodeglobo">
    <w:name w:val="Balloon Text"/>
    <w:basedOn w:val="Normal"/>
    <w:semiHidden/>
    <w:rsid w:val="0016221B"/>
    <w:rPr>
      <w:rFonts w:ascii="Tahoma" w:hAnsi="Tahoma" w:cs="Tahoma"/>
      <w:sz w:val="16"/>
      <w:szCs w:val="16"/>
    </w:rPr>
  </w:style>
  <w:style w:type="character" w:styleId="Refdecomentario">
    <w:name w:val="annotation reference"/>
    <w:semiHidden/>
    <w:rsid w:val="00F44396"/>
    <w:rPr>
      <w:sz w:val="16"/>
      <w:szCs w:val="16"/>
    </w:rPr>
  </w:style>
  <w:style w:type="paragraph" w:styleId="Textocomentario">
    <w:name w:val="annotation text"/>
    <w:basedOn w:val="Normal"/>
    <w:semiHidden/>
    <w:rsid w:val="00F44396"/>
    <w:rPr>
      <w:sz w:val="20"/>
      <w:szCs w:val="20"/>
    </w:rPr>
  </w:style>
  <w:style w:type="paragraph" w:styleId="Asuntodelcomentario">
    <w:name w:val="annotation subject"/>
    <w:basedOn w:val="Textocomentario"/>
    <w:next w:val="Textocomentario"/>
    <w:semiHidden/>
    <w:rsid w:val="00F44396"/>
    <w:rPr>
      <w:b/>
      <w:bCs/>
    </w:rPr>
  </w:style>
  <w:style w:type="paragraph" w:styleId="Piedepgina">
    <w:name w:val="footer"/>
    <w:basedOn w:val="Normal"/>
    <w:link w:val="PiedepginaCar"/>
    <w:rsid w:val="006A5D4C"/>
    <w:pPr>
      <w:tabs>
        <w:tab w:val="center" w:pos="4252"/>
        <w:tab w:val="right" w:pos="8504"/>
      </w:tabs>
    </w:pPr>
  </w:style>
  <w:style w:type="character" w:styleId="Nmerodepgina">
    <w:name w:val="page number"/>
    <w:rsid w:val="006A5D4C"/>
    <w:rPr>
      <w:rFonts w:cs="Times New Roman"/>
    </w:rPr>
  </w:style>
  <w:style w:type="paragraph" w:styleId="Encabezado">
    <w:name w:val="header"/>
    <w:basedOn w:val="Normal"/>
    <w:rsid w:val="006A5D4C"/>
    <w:pPr>
      <w:tabs>
        <w:tab w:val="center" w:pos="4252"/>
        <w:tab w:val="right" w:pos="8504"/>
      </w:tabs>
    </w:pPr>
  </w:style>
  <w:style w:type="paragraph" w:styleId="Prrafodelista">
    <w:name w:val="List Paragraph"/>
    <w:basedOn w:val="Normal"/>
    <w:uiPriority w:val="34"/>
    <w:qFormat/>
    <w:rsid w:val="005E0E54"/>
    <w:pPr>
      <w:ind w:left="708"/>
    </w:pPr>
  </w:style>
  <w:style w:type="paragraph" w:customStyle="1" w:styleId="ListParagraph0">
    <w:name w:val="List Paragraph0"/>
    <w:basedOn w:val="Normal"/>
    <w:rsid w:val="005E0E54"/>
    <w:pPr>
      <w:ind w:left="708"/>
    </w:pPr>
  </w:style>
  <w:style w:type="character" w:customStyle="1" w:styleId="TextoindependienteCar">
    <w:name w:val="Texto independiente Car"/>
    <w:link w:val="Textoindependiente"/>
    <w:rsid w:val="00370FEA"/>
    <w:rPr>
      <w:rFonts w:ascii="Arial" w:hAnsi="Arial" w:cs="Arial"/>
      <w:spacing w:val="20"/>
      <w:sz w:val="24"/>
      <w:szCs w:val="24"/>
      <w:lang w:val="es-MX" w:eastAsia="es-ES"/>
    </w:rPr>
  </w:style>
  <w:style w:type="paragraph" w:styleId="Revisin">
    <w:name w:val="Revision"/>
    <w:hidden/>
    <w:uiPriority w:val="99"/>
    <w:semiHidden/>
    <w:rsid w:val="00D166FC"/>
    <w:rPr>
      <w:rFonts w:ascii="Arial" w:hAnsi="Arial" w:cs="Arial"/>
      <w:spacing w:val="20"/>
      <w:sz w:val="28"/>
      <w:szCs w:val="28"/>
      <w:lang w:eastAsia="es-ES"/>
    </w:rPr>
  </w:style>
  <w:style w:type="character" w:customStyle="1" w:styleId="PiedepginaCar">
    <w:name w:val="Pie de página Car"/>
    <w:basedOn w:val="Fuentedeprrafopredeter"/>
    <w:link w:val="Piedepgina"/>
    <w:rsid w:val="00413940"/>
    <w:rPr>
      <w:rFonts w:ascii="Arial" w:hAnsi="Arial" w:cs="Arial"/>
      <w:spacing w:val="20"/>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41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3.wmf"/><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9F8DE0-FE0F-4E05-AF56-4598CB472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307DFA-ACE7-44DF-B652-32FA5A3AD0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FD670F-088A-4C2D-9F89-E1A02ABA41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1734</Words>
  <Characters>8867</Characters>
  <Application>Microsoft Office Word</Application>
  <DocSecurity>0</DocSecurity>
  <Lines>73</Lines>
  <Paragraphs>21</Paragraphs>
  <ScaleCrop>false</ScaleCrop>
  <Company>superfinanciera</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jmechandia</dc:creator>
  <cp:keywords/>
  <dc:description/>
  <cp:lastModifiedBy>Juan Bernardo Caicedo Guillen</cp:lastModifiedBy>
  <cp:revision>3</cp:revision>
  <cp:lastPrinted>2010-11-30T02:33:00Z</cp:lastPrinted>
  <dcterms:created xsi:type="dcterms:W3CDTF">2023-01-10T14:59:00Z</dcterms:created>
  <dcterms:modified xsi:type="dcterms:W3CDTF">2023-01-10T15:00:00Z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0x010100938D77FF5838414D90B359564BE81BAF</vt:lpwstr>
  </property>
</Properties>
</file>